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rPr>
          <w:rFonts w:hint="eastAsia" w:ascii="宋体" w:hAnsi="宋体" w:cs="宋体"/>
          <w:b/>
          <w:color w:val="auto"/>
          <w:sz w:val="52"/>
          <w:szCs w:val="52"/>
          <w:highlight w:val="none"/>
        </w:rPr>
      </w:pPr>
      <w:r>
        <w:rPr>
          <w:rFonts w:hint="eastAsia" w:ascii="宋体" w:hAnsi="宋体" w:cs="宋体"/>
          <w:b/>
          <w:color w:val="auto"/>
          <w:sz w:val="30"/>
          <w:szCs w:val="30"/>
          <w:highlight w:val="none"/>
        </w:rPr>
        <w:t>采购项目编号：</w:t>
      </w:r>
      <w:r>
        <w:rPr>
          <w:rFonts w:hint="eastAsia" w:ascii="宋体" w:hAnsi="宋体" w:cs="宋体"/>
          <w:color w:val="auto"/>
          <w:sz w:val="24"/>
          <w:highlight w:val="none"/>
          <w:lang w:val="en-US" w:eastAsia="zh-CN"/>
        </w:rPr>
        <w:t>XL-2412-001-GC服务</w:t>
      </w:r>
    </w:p>
    <w:p>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新良大厦1-4号电梯更新改造项目</w:t>
      </w:r>
    </w:p>
    <w:p>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工程造价咨询服务采购</w:t>
      </w:r>
    </w:p>
    <w:p>
      <w:pPr>
        <w:pStyle w:val="10"/>
        <w:spacing w:line="1000" w:lineRule="exact"/>
        <w:rPr>
          <w:rFonts w:hint="eastAsia" w:ascii="宋体" w:hAnsi="宋体" w:cs="宋体"/>
          <w:color w:val="auto"/>
          <w:highlight w:val="none"/>
        </w:rPr>
      </w:pPr>
    </w:p>
    <w:p>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询</w:t>
      </w:r>
    </w:p>
    <w:p>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价</w:t>
      </w:r>
    </w:p>
    <w:p>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通</w:t>
      </w:r>
    </w:p>
    <w:p>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知</w:t>
      </w:r>
    </w:p>
    <w:p>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书</w:t>
      </w:r>
    </w:p>
    <w:p>
      <w:pPr>
        <w:spacing w:line="1000" w:lineRule="exact"/>
        <w:jc w:val="center"/>
        <w:rPr>
          <w:rFonts w:hint="eastAsia" w:ascii="宋体" w:hAnsi="宋体" w:cs="宋体"/>
          <w:b/>
          <w:color w:val="auto"/>
          <w:sz w:val="32"/>
          <w:szCs w:val="32"/>
          <w:highlight w:val="none"/>
        </w:rPr>
      </w:pPr>
    </w:p>
    <w:p>
      <w:pPr>
        <w:spacing w:line="10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四川新良大厦有限责任公司编制</w:t>
      </w:r>
    </w:p>
    <w:p>
      <w:pPr>
        <w:spacing w:line="1000" w:lineRule="exact"/>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rPr>
        <w:t>2024</w:t>
      </w:r>
      <w:r>
        <w:rPr>
          <w:rFonts w:hint="eastAsia" w:ascii="宋体" w:hAnsi="宋体" w:cs="宋体"/>
          <w:b/>
          <w:bCs/>
          <w:color w:val="auto"/>
          <w:sz w:val="32"/>
          <w:szCs w:val="32"/>
          <w:highlight w:val="none"/>
          <w:lang w:val="zh-CN"/>
        </w:rPr>
        <w:t>年</w:t>
      </w:r>
      <w:r>
        <w:rPr>
          <w:rFonts w:hint="eastAsia" w:ascii="宋体" w:hAnsi="宋体" w:cs="宋体"/>
          <w:b/>
          <w:bCs/>
          <w:color w:val="auto"/>
          <w:sz w:val="32"/>
          <w:szCs w:val="32"/>
          <w:highlight w:val="none"/>
        </w:rPr>
        <w:t>12</w:t>
      </w:r>
      <w:r>
        <w:rPr>
          <w:rFonts w:hint="eastAsia" w:ascii="宋体" w:hAnsi="宋体" w:cs="宋体"/>
          <w:b/>
          <w:bCs/>
          <w:color w:val="auto"/>
          <w:sz w:val="32"/>
          <w:szCs w:val="32"/>
          <w:highlight w:val="none"/>
          <w:lang w:val="zh-CN"/>
        </w:rPr>
        <w:t>月</w:t>
      </w:r>
    </w:p>
    <w:p>
      <w:pPr>
        <w:spacing w:line="1000" w:lineRule="exact"/>
        <w:rPr>
          <w:rFonts w:hint="eastAsia" w:ascii="宋体" w:hAnsi="宋体" w:cs="宋体"/>
          <w:color w:val="auto"/>
          <w:sz w:val="24"/>
          <w:highlight w:val="none"/>
        </w:rPr>
      </w:pPr>
    </w:p>
    <w:p>
      <w:pPr>
        <w:widowControl/>
        <w:spacing w:line="360" w:lineRule="exact"/>
        <w:jc w:val="left"/>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pPr>
        <w:pStyle w:val="55"/>
        <w:spacing w:after="160" w:line="360" w:lineRule="exact"/>
        <w:ind w:firstLine="0" w:firstLineChars="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目    录</w:t>
      </w:r>
    </w:p>
    <w:p>
      <w:pPr>
        <w:spacing w:line="360" w:lineRule="exact"/>
        <w:rPr>
          <w:rFonts w:hint="eastAsia" w:ascii="宋体" w:hAnsi="宋体" w:eastAsia="宋体" w:cs="宋体"/>
          <w:color w:val="auto"/>
          <w:kern w:val="2"/>
          <w:sz w:val="21"/>
          <w:szCs w:val="24"/>
          <w:highlight w:val="none"/>
          <w:lang w:val="en-US" w:eastAsia="zh-CN" w:bidi="ar-SA"/>
        </w:rPr>
      </w:pPr>
      <w:r>
        <w:rPr>
          <w:rFonts w:hint="eastAsia" w:ascii="宋体" w:hAnsi="宋体" w:cs="宋体"/>
          <w:b/>
          <w:bCs/>
          <w:color w:val="auto"/>
          <w:sz w:val="36"/>
          <w:szCs w:val="36"/>
          <w:highlight w:val="none"/>
        </w:rPr>
        <w:fldChar w:fldCharType="begin"/>
      </w:r>
      <w:r>
        <w:rPr>
          <w:rFonts w:hint="eastAsia" w:ascii="宋体" w:hAnsi="宋体" w:cs="宋体"/>
          <w:b/>
          <w:bCs/>
          <w:color w:val="auto"/>
          <w:sz w:val="36"/>
          <w:szCs w:val="36"/>
          <w:highlight w:val="none"/>
        </w:rPr>
        <w:instrText xml:space="preserve"> TOC \o "1-1" \h \z \u </w:instrText>
      </w:r>
      <w:r>
        <w:rPr>
          <w:rFonts w:hint="eastAsia" w:ascii="宋体" w:hAnsi="宋体" w:cs="宋体"/>
          <w:b/>
          <w:bCs/>
          <w:color w:val="auto"/>
          <w:sz w:val="36"/>
          <w:szCs w:val="36"/>
          <w:highlight w:val="none"/>
        </w:rPr>
        <w:fldChar w:fldCharType="separate"/>
      </w:r>
    </w:p>
    <w:p>
      <w:pPr>
        <w:pStyle w:val="18"/>
        <w:tabs>
          <w:tab w:val="right" w:leader="dot" w:pos="8307"/>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_Toc1651 </w:instrText>
      </w:r>
      <w:r>
        <w:rPr>
          <w:rFonts w:hint="eastAsia" w:ascii="宋体" w:hAnsi="宋体" w:cs="宋体"/>
          <w:color w:val="auto"/>
          <w:highlight w:val="none"/>
        </w:rPr>
        <w:fldChar w:fldCharType="separate"/>
      </w:r>
      <w:r>
        <w:rPr>
          <w:rFonts w:hint="eastAsia" w:ascii="宋体" w:hAnsi="宋体" w:cs="宋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_Toc1651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8307"/>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_Toc4361 </w:instrText>
      </w:r>
      <w:r>
        <w:rPr>
          <w:rFonts w:hint="eastAsia" w:ascii="宋体" w:hAnsi="宋体" w:cs="宋体"/>
          <w:color w:val="auto"/>
          <w:highlight w:val="none"/>
        </w:rPr>
        <w:fldChar w:fldCharType="separate"/>
      </w:r>
      <w:r>
        <w:rPr>
          <w:rFonts w:hint="eastAsia" w:ascii="宋体" w:hAnsi="宋体" w:cs="宋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_Toc4361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8307"/>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_Toc27745 </w:instrText>
      </w:r>
      <w:r>
        <w:rPr>
          <w:rFonts w:hint="eastAsia" w:ascii="宋体" w:hAnsi="宋体" w:cs="宋体"/>
          <w:color w:val="auto"/>
          <w:highlight w:val="none"/>
        </w:rPr>
        <w:fldChar w:fldCharType="separate"/>
      </w:r>
      <w:r>
        <w:rPr>
          <w:rFonts w:hint="eastAsia" w:ascii="宋体" w:hAnsi="宋体" w:cs="宋体"/>
          <w:color w:val="auto"/>
          <w:highlight w:val="none"/>
        </w:rPr>
        <w:t>第三章  供应商应当提供的资格相关证明材料</w:t>
      </w:r>
      <w:r>
        <w:rPr>
          <w:color w:val="auto"/>
          <w:highlight w:val="none"/>
        </w:rPr>
        <w:tab/>
      </w:r>
      <w:r>
        <w:rPr>
          <w:color w:val="auto"/>
          <w:highlight w:val="none"/>
        </w:rPr>
        <w:fldChar w:fldCharType="begin"/>
      </w:r>
      <w:r>
        <w:rPr>
          <w:color w:val="auto"/>
          <w:highlight w:val="none"/>
        </w:rPr>
        <w:instrText xml:space="preserve"> PAGEREF _Toc27745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8307"/>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_Toc7358 </w:instrText>
      </w:r>
      <w:r>
        <w:rPr>
          <w:rFonts w:hint="eastAsia" w:ascii="宋体" w:hAnsi="宋体" w:cs="宋体"/>
          <w:color w:val="auto"/>
          <w:highlight w:val="none"/>
        </w:rPr>
        <w:fldChar w:fldCharType="separate"/>
      </w:r>
      <w:r>
        <w:rPr>
          <w:rFonts w:hint="eastAsia" w:ascii="宋体" w:hAnsi="宋体" w:cs="宋体"/>
          <w:color w:val="auto"/>
          <w:highlight w:val="none"/>
        </w:rPr>
        <w:t>第四章  采购项目商务及技术要求</w:t>
      </w:r>
      <w:r>
        <w:rPr>
          <w:color w:val="auto"/>
          <w:highlight w:val="none"/>
        </w:rPr>
        <w:tab/>
      </w:r>
      <w:r>
        <w:rPr>
          <w:color w:val="auto"/>
          <w:highlight w:val="none"/>
        </w:rPr>
        <w:fldChar w:fldCharType="begin"/>
      </w:r>
      <w:r>
        <w:rPr>
          <w:color w:val="auto"/>
          <w:highlight w:val="none"/>
        </w:rPr>
        <w:instrText xml:space="preserve"> PAGEREF _Toc7358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8307"/>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_Toc5626 </w:instrText>
      </w:r>
      <w:r>
        <w:rPr>
          <w:rFonts w:hint="eastAsia" w:ascii="宋体" w:hAnsi="宋体" w:cs="宋体"/>
          <w:color w:val="auto"/>
          <w:highlight w:val="none"/>
        </w:rPr>
        <w:fldChar w:fldCharType="separate"/>
      </w:r>
      <w:r>
        <w:rPr>
          <w:rFonts w:hint="eastAsia" w:ascii="宋体" w:hAnsi="宋体" w:cs="宋体"/>
          <w:color w:val="auto"/>
          <w:highlight w:val="none"/>
        </w:rPr>
        <w:t>第五章  响应文件格式</w:t>
      </w:r>
      <w:r>
        <w:rPr>
          <w:color w:val="auto"/>
          <w:highlight w:val="none"/>
        </w:rPr>
        <w:tab/>
      </w:r>
      <w:r>
        <w:rPr>
          <w:color w:val="auto"/>
          <w:highlight w:val="none"/>
        </w:rPr>
        <w:fldChar w:fldCharType="begin"/>
      </w:r>
      <w:r>
        <w:rPr>
          <w:color w:val="auto"/>
          <w:highlight w:val="none"/>
        </w:rPr>
        <w:instrText xml:space="preserve"> PAGEREF _Toc5626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8307"/>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_Toc8819 </w:instrText>
      </w:r>
      <w:r>
        <w:rPr>
          <w:rFonts w:hint="eastAsia" w:ascii="宋体" w:hAnsi="宋体" w:cs="宋体"/>
          <w:color w:val="auto"/>
          <w:highlight w:val="none"/>
        </w:rPr>
        <w:fldChar w:fldCharType="separate"/>
      </w:r>
      <w:r>
        <w:rPr>
          <w:rFonts w:hint="eastAsia" w:ascii="宋体" w:hAnsi="宋体" w:cs="宋体"/>
          <w:color w:val="auto"/>
          <w:highlight w:val="none"/>
        </w:rPr>
        <w:t>第六章  评审方法</w:t>
      </w:r>
      <w:r>
        <w:rPr>
          <w:color w:val="auto"/>
          <w:highlight w:val="none"/>
        </w:rPr>
        <w:tab/>
      </w:r>
      <w:r>
        <w:rPr>
          <w:color w:val="auto"/>
          <w:highlight w:val="none"/>
        </w:rPr>
        <w:fldChar w:fldCharType="begin"/>
      </w:r>
      <w:r>
        <w:rPr>
          <w:color w:val="auto"/>
          <w:highlight w:val="none"/>
        </w:rPr>
        <w:instrText xml:space="preserve"> PAGEREF _Toc8819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8307"/>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_Toc22696 </w:instrText>
      </w:r>
      <w:r>
        <w:rPr>
          <w:rFonts w:hint="eastAsia" w:ascii="宋体" w:hAnsi="宋体" w:cs="宋体"/>
          <w:color w:val="auto"/>
          <w:highlight w:val="none"/>
        </w:rPr>
        <w:fldChar w:fldCharType="separate"/>
      </w:r>
      <w:r>
        <w:rPr>
          <w:rFonts w:hint="eastAsia" w:ascii="宋体" w:hAnsi="宋体" w:cs="宋体"/>
          <w:color w:val="auto"/>
          <w:highlight w:val="none"/>
        </w:rPr>
        <w:t>第七章  造价咨询服务合同（草案）</w:t>
      </w:r>
      <w:r>
        <w:rPr>
          <w:color w:val="auto"/>
          <w:highlight w:val="none"/>
        </w:rPr>
        <w:tab/>
      </w:r>
      <w:r>
        <w:rPr>
          <w:color w:val="auto"/>
          <w:highlight w:val="none"/>
        </w:rPr>
        <w:fldChar w:fldCharType="begin"/>
      </w:r>
      <w:r>
        <w:rPr>
          <w:color w:val="auto"/>
          <w:highlight w:val="none"/>
        </w:rPr>
        <w:instrText xml:space="preserve"> PAGEREF _Toc22696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8307"/>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_Toc11010 </w:instrText>
      </w:r>
      <w:r>
        <w:rPr>
          <w:rFonts w:hint="eastAsia" w:ascii="宋体" w:hAnsi="宋体" w:cs="宋体"/>
          <w:color w:val="auto"/>
          <w:highlight w:val="none"/>
        </w:rPr>
        <w:fldChar w:fldCharType="separate"/>
      </w:r>
      <w:r>
        <w:rPr>
          <w:rFonts w:hint="eastAsia" w:ascii="宋体" w:hAnsi="宋体" w:cs="宋体"/>
          <w:bCs/>
          <w:color w:val="auto"/>
          <w:szCs w:val="44"/>
          <w:highlight w:val="none"/>
        </w:rPr>
        <w:t>第八章  附件</w:t>
      </w:r>
      <w:r>
        <w:rPr>
          <w:color w:val="auto"/>
          <w:highlight w:val="none"/>
        </w:rPr>
        <w:tab/>
      </w:r>
      <w:r>
        <w:rPr>
          <w:color w:val="auto"/>
          <w:highlight w:val="none"/>
        </w:rPr>
        <w:fldChar w:fldCharType="begin"/>
      </w:r>
      <w:r>
        <w:rPr>
          <w:color w:val="auto"/>
          <w:highlight w:val="none"/>
        </w:rPr>
        <w:instrText xml:space="preserve"> PAGEREF _Toc11010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cs="宋体"/>
          <w:color w:val="auto"/>
          <w:highlight w:val="none"/>
        </w:rPr>
        <w:fldChar w:fldCharType="end"/>
      </w:r>
    </w:p>
    <w:p>
      <w:pPr>
        <w:pStyle w:val="55"/>
        <w:spacing w:after="160" w:line="360" w:lineRule="exact"/>
        <w:ind w:firstLine="720"/>
        <w:jc w:val="center"/>
        <w:rPr>
          <w:rFonts w:hint="eastAsia" w:ascii="宋体" w:hAnsi="宋体" w:cs="宋体"/>
          <w:color w:val="auto"/>
          <w:highlight w:val="none"/>
        </w:rPr>
      </w:pPr>
      <w:r>
        <w:rPr>
          <w:rFonts w:hint="eastAsia" w:ascii="宋体" w:hAnsi="宋体" w:cs="宋体"/>
          <w:color w:val="auto"/>
          <w:highlight w:val="none"/>
        </w:rPr>
        <w:fldChar w:fldCharType="end"/>
      </w:r>
    </w:p>
    <w:p>
      <w:pPr>
        <w:pStyle w:val="22"/>
        <w:spacing w:line="360" w:lineRule="exact"/>
        <w:rPr>
          <w:rFonts w:hint="eastAsia" w:ascii="宋体" w:hAnsi="宋体" w:cs="宋体"/>
          <w:color w:val="auto"/>
          <w:highlight w:val="none"/>
        </w:rPr>
      </w:pPr>
      <w:r>
        <w:rPr>
          <w:rFonts w:hint="eastAsia" w:ascii="宋体" w:hAnsi="宋体" w:cs="宋体"/>
          <w:color w:val="auto"/>
          <w:sz w:val="24"/>
          <w:highlight w:val="none"/>
        </w:rPr>
        <w:br w:type="page"/>
      </w:r>
      <w:bookmarkStart w:id="0" w:name="_Toc94213281"/>
      <w:bookmarkStart w:id="1" w:name="_Toc24639"/>
      <w:bookmarkStart w:id="2" w:name="_Toc2989"/>
      <w:bookmarkStart w:id="3" w:name="_Toc1651"/>
      <w:bookmarkStart w:id="4" w:name="_Toc7440"/>
      <w:r>
        <w:rPr>
          <w:rFonts w:hint="eastAsia" w:ascii="宋体" w:hAnsi="宋体" w:cs="宋体"/>
          <w:color w:val="auto"/>
          <w:highlight w:val="none"/>
        </w:rPr>
        <w:t>第一章  询价邀请</w:t>
      </w:r>
      <w:bookmarkEnd w:id="0"/>
      <w:bookmarkEnd w:id="1"/>
      <w:bookmarkEnd w:id="2"/>
      <w:r>
        <w:rPr>
          <w:rFonts w:hint="eastAsia" w:ascii="宋体" w:hAnsi="宋体" w:cs="宋体"/>
          <w:color w:val="auto"/>
          <w:highlight w:val="none"/>
        </w:rPr>
        <w:t>公告</w:t>
      </w:r>
      <w:bookmarkEnd w:id="3"/>
      <w:bookmarkEnd w:id="4"/>
    </w:p>
    <w:p>
      <w:pPr>
        <w:pStyle w:val="6"/>
        <w:spacing w:line="360" w:lineRule="exact"/>
        <w:rPr>
          <w:rFonts w:hint="eastAsia" w:ascii="宋体" w:hAnsi="宋体" w:cs="宋体"/>
          <w:color w:val="auto"/>
          <w:highlight w:val="none"/>
        </w:rPr>
      </w:pPr>
    </w:p>
    <w:p>
      <w:pPr>
        <w:spacing w:line="360" w:lineRule="exact"/>
        <w:ind w:left="105" w:leftChars="50" w:firstLine="600" w:firstLineChars="250"/>
        <w:jc w:val="left"/>
        <w:rPr>
          <w:rFonts w:hint="eastAsia" w:ascii="宋体" w:hAnsi="宋体" w:cs="宋体"/>
          <w:color w:val="auto"/>
          <w:sz w:val="24"/>
          <w:szCs w:val="28"/>
          <w:highlight w:val="none"/>
        </w:rPr>
      </w:pPr>
      <w:r>
        <w:rPr>
          <w:rFonts w:hint="eastAsia" w:ascii="宋体" w:hAnsi="宋体" w:cs="宋体"/>
          <w:color w:val="auto"/>
          <w:sz w:val="24"/>
          <w:highlight w:val="none"/>
          <w:u w:val="single"/>
        </w:rPr>
        <w:t>四川新良大厦有限责任公司</w:t>
      </w:r>
      <w:r>
        <w:rPr>
          <w:rFonts w:hint="eastAsia" w:ascii="宋体" w:hAnsi="宋体" w:cs="宋体"/>
          <w:color w:val="auto"/>
          <w:sz w:val="24"/>
          <w:highlight w:val="none"/>
        </w:rPr>
        <w:t>，拟对</w:t>
      </w:r>
      <w:bookmarkStart w:id="5" w:name="PO_默认文件内容_1"/>
      <w:r>
        <w:rPr>
          <w:rFonts w:hint="eastAsia" w:ascii="宋体" w:hAnsi="宋体" w:cs="宋体"/>
          <w:bCs/>
          <w:color w:val="auto"/>
          <w:sz w:val="24"/>
          <w:highlight w:val="none"/>
          <w:u w:val="single"/>
        </w:rPr>
        <w:t>新良大厦1-4号电梯更新改造项目工程造价咨询服务</w:t>
      </w:r>
      <w:r>
        <w:rPr>
          <w:rFonts w:hint="eastAsia" w:ascii="宋体" w:hAnsi="宋体" w:cs="宋体"/>
          <w:bCs/>
          <w:color w:val="auto"/>
          <w:sz w:val="24"/>
          <w:highlight w:val="none"/>
          <w:u w:val="single"/>
          <w:lang w:eastAsia="zh-CN"/>
        </w:rPr>
        <w:t>（</w:t>
      </w:r>
      <w:r>
        <w:rPr>
          <w:rFonts w:hint="eastAsia" w:ascii="宋体" w:hAnsi="宋体" w:cs="宋体"/>
          <w:bCs/>
          <w:color w:val="auto"/>
          <w:sz w:val="24"/>
          <w:highlight w:val="none"/>
          <w:u w:val="single"/>
          <w:lang w:val="en-US" w:eastAsia="zh-CN"/>
        </w:rPr>
        <w:t>最高投标限价编制及工程量清单编制服务</w:t>
      </w:r>
      <w:r>
        <w:rPr>
          <w:rFonts w:hint="eastAsia" w:ascii="宋体" w:hAnsi="宋体" w:cs="宋体"/>
          <w:bCs/>
          <w:color w:val="auto"/>
          <w:sz w:val="24"/>
          <w:highlight w:val="none"/>
          <w:u w:val="single"/>
          <w:lang w:eastAsia="zh-CN"/>
        </w:rPr>
        <w:t>）</w:t>
      </w:r>
      <w:r>
        <w:rPr>
          <w:rFonts w:hint="eastAsia" w:ascii="宋体" w:hAnsi="宋体" w:cs="宋体"/>
          <w:color w:val="auto"/>
          <w:sz w:val="24"/>
          <w:szCs w:val="32"/>
          <w:highlight w:val="none"/>
        </w:rPr>
        <w:t>采用询价方式</w:t>
      </w:r>
      <w:r>
        <w:rPr>
          <w:rFonts w:hint="eastAsia" w:ascii="宋体" w:hAnsi="宋体" w:cs="宋体"/>
          <w:color w:val="auto"/>
          <w:sz w:val="24"/>
          <w:highlight w:val="none"/>
        </w:rPr>
        <w:t>进行采购，特</w:t>
      </w:r>
      <w:r>
        <w:rPr>
          <w:rFonts w:hint="eastAsia" w:ascii="宋体" w:hAnsi="宋体" w:cs="宋体"/>
          <w:color w:val="auto"/>
          <w:sz w:val="24"/>
          <w:szCs w:val="28"/>
          <w:highlight w:val="none"/>
        </w:rPr>
        <w:t>邀请符合本次采购要求的供应商参加</w:t>
      </w:r>
      <w:r>
        <w:rPr>
          <w:rFonts w:hint="eastAsia" w:ascii="宋体" w:hAnsi="宋体" w:cs="宋体"/>
          <w:color w:val="auto"/>
          <w:sz w:val="24"/>
          <w:highlight w:val="none"/>
        </w:rPr>
        <w:t>报价</w:t>
      </w:r>
      <w:r>
        <w:rPr>
          <w:rFonts w:hint="eastAsia" w:ascii="宋体" w:hAnsi="宋体" w:cs="宋体"/>
          <w:color w:val="auto"/>
          <w:sz w:val="24"/>
          <w:szCs w:val="28"/>
          <w:highlight w:val="none"/>
        </w:rPr>
        <w:t>。</w:t>
      </w:r>
      <w:bookmarkEnd w:id="5"/>
    </w:p>
    <w:p>
      <w:pPr>
        <w:spacing w:line="360" w:lineRule="exact"/>
        <w:ind w:firstLine="482" w:firstLineChars="200"/>
        <w:outlineLvl w:val="1"/>
        <w:rPr>
          <w:rFonts w:hint="eastAsia" w:ascii="宋体" w:hAnsi="宋体" w:cs="宋体"/>
          <w:b/>
          <w:color w:val="auto"/>
          <w:sz w:val="24"/>
          <w:highlight w:val="none"/>
        </w:rPr>
      </w:pPr>
      <w:r>
        <w:rPr>
          <w:rFonts w:hint="eastAsia" w:ascii="宋体" w:hAnsi="宋体" w:cs="宋体"/>
          <w:b/>
          <w:color w:val="auto"/>
          <w:sz w:val="24"/>
          <w:highlight w:val="none"/>
        </w:rPr>
        <w:t>一、采购项目基本情况</w:t>
      </w:r>
    </w:p>
    <w:p>
      <w:pPr>
        <w:spacing w:line="36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一</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采购项目编号：XL-2412-001-GC服务</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二</w:t>
      </w:r>
      <w:r>
        <w:rPr>
          <w:rFonts w:hint="eastAsia" w:ascii="宋体" w:hAnsi="宋体" w:cs="宋体"/>
          <w:color w:val="auto"/>
          <w:sz w:val="24"/>
          <w:highlight w:val="none"/>
          <w:lang w:eastAsia="zh-CN"/>
        </w:rPr>
        <w:t>）</w:t>
      </w:r>
      <w:r>
        <w:rPr>
          <w:rFonts w:hint="eastAsia" w:ascii="宋体" w:hAnsi="宋体" w:cs="宋体"/>
          <w:color w:val="auto"/>
          <w:sz w:val="24"/>
          <w:highlight w:val="none"/>
        </w:rPr>
        <w:t>采购项目名称：新良大厦1-4号电梯更新改造项目工程造价咨询服务</w:t>
      </w:r>
      <w:r>
        <w:rPr>
          <w:rFonts w:hint="eastAsia" w:ascii="宋体" w:hAnsi="宋体" w:cs="宋体"/>
          <w:bCs/>
          <w:color w:val="auto"/>
          <w:sz w:val="24"/>
          <w:highlight w:val="none"/>
          <w:u w:val="single"/>
          <w:lang w:eastAsia="zh-CN"/>
        </w:rPr>
        <w:t>（</w:t>
      </w:r>
      <w:r>
        <w:rPr>
          <w:rFonts w:hint="eastAsia" w:ascii="宋体" w:hAnsi="宋体" w:cs="宋体"/>
          <w:bCs/>
          <w:color w:val="auto"/>
          <w:sz w:val="24"/>
          <w:highlight w:val="none"/>
          <w:u w:val="single"/>
          <w:lang w:val="en-US" w:eastAsia="zh-CN"/>
        </w:rPr>
        <w:t>最高投标限价编制及工程量清单编制服务</w:t>
      </w:r>
      <w:r>
        <w:rPr>
          <w:rFonts w:hint="eastAsia" w:ascii="宋体" w:hAnsi="宋体" w:cs="宋体"/>
          <w:bCs/>
          <w:color w:val="auto"/>
          <w:sz w:val="24"/>
          <w:highlight w:val="none"/>
          <w:u w:val="single"/>
          <w:lang w:eastAsia="zh-CN"/>
        </w:rPr>
        <w:t>）</w:t>
      </w:r>
      <w:r>
        <w:rPr>
          <w:rFonts w:hint="eastAsia" w:ascii="宋体" w:hAnsi="宋体" w:cs="宋体"/>
          <w:color w:val="auto"/>
          <w:sz w:val="24"/>
          <w:highlight w:val="none"/>
        </w:rPr>
        <w:t>。</w:t>
      </w:r>
    </w:p>
    <w:p>
      <w:pPr>
        <w:spacing w:line="360" w:lineRule="exact"/>
        <w:ind w:firstLine="482" w:firstLineChars="200"/>
        <w:outlineLvl w:val="1"/>
        <w:rPr>
          <w:rFonts w:hint="eastAsia" w:ascii="宋体" w:hAnsi="宋体" w:cs="宋体"/>
          <w:b/>
          <w:color w:val="auto"/>
          <w:sz w:val="24"/>
          <w:highlight w:val="none"/>
        </w:rPr>
      </w:pPr>
      <w:r>
        <w:rPr>
          <w:rFonts w:hint="eastAsia" w:ascii="宋体" w:hAnsi="宋体" w:cs="宋体"/>
          <w:b/>
          <w:color w:val="auto"/>
          <w:sz w:val="24"/>
          <w:highlight w:val="none"/>
        </w:rPr>
        <w:t>二、资金情况</w:t>
      </w:r>
    </w:p>
    <w:p>
      <w:pPr>
        <w:spacing w:line="360" w:lineRule="exact"/>
        <w:ind w:right="31" w:rightChars="15"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资金来源：企业自筹。</w:t>
      </w:r>
    </w:p>
    <w:p>
      <w:pPr>
        <w:spacing w:line="360" w:lineRule="exact"/>
        <w:ind w:firstLine="482" w:firstLineChars="200"/>
        <w:outlineLvl w:val="1"/>
        <w:rPr>
          <w:rFonts w:hint="eastAsia" w:ascii="宋体" w:hAnsi="宋体" w:cs="宋体"/>
          <w:color w:val="auto"/>
          <w:sz w:val="24"/>
          <w:szCs w:val="28"/>
          <w:highlight w:val="none"/>
        </w:rPr>
      </w:pPr>
      <w:r>
        <w:rPr>
          <w:rFonts w:hint="eastAsia" w:ascii="宋体" w:hAnsi="宋体" w:cs="宋体"/>
          <w:b/>
          <w:color w:val="auto"/>
          <w:sz w:val="24"/>
          <w:highlight w:val="none"/>
        </w:rPr>
        <w:t>三、采购项目简介：</w:t>
      </w:r>
      <w:bookmarkStart w:id="6" w:name="PO_默认文件内容_2"/>
      <w:r>
        <w:rPr>
          <w:rFonts w:hint="eastAsia" w:ascii="宋体" w:hAnsi="宋体" w:cs="宋体"/>
          <w:color w:val="auto"/>
          <w:spacing w:val="-4"/>
          <w:sz w:val="24"/>
          <w:highlight w:val="none"/>
        </w:rPr>
        <w:t>本项目共1个包，采购</w:t>
      </w:r>
      <w:r>
        <w:rPr>
          <w:rFonts w:hint="eastAsia" w:ascii="宋体" w:hAnsi="宋体" w:cs="宋体"/>
          <w:color w:val="auto"/>
          <w:sz w:val="24"/>
          <w:highlight w:val="none"/>
        </w:rPr>
        <w:t>新良大厦1-4号电梯更新改造项目工程造价咨询服务</w:t>
      </w:r>
      <w:r>
        <w:rPr>
          <w:rFonts w:hint="eastAsia" w:ascii="宋体" w:hAnsi="宋体" w:cs="宋体"/>
          <w:bCs/>
          <w:color w:val="auto"/>
          <w:sz w:val="24"/>
          <w:highlight w:val="none"/>
          <w:u w:val="single"/>
          <w:lang w:eastAsia="zh-CN"/>
        </w:rPr>
        <w:t>（</w:t>
      </w:r>
      <w:r>
        <w:rPr>
          <w:rFonts w:hint="eastAsia" w:ascii="宋体" w:hAnsi="宋体" w:cs="宋体"/>
          <w:bCs/>
          <w:color w:val="auto"/>
          <w:sz w:val="24"/>
          <w:highlight w:val="none"/>
          <w:u w:val="single"/>
          <w:lang w:val="en-US" w:eastAsia="zh-CN"/>
        </w:rPr>
        <w:t>最高投标限价编制及工程量清单编制服务</w:t>
      </w:r>
      <w:r>
        <w:rPr>
          <w:rFonts w:hint="eastAsia" w:ascii="宋体" w:hAnsi="宋体" w:cs="宋体"/>
          <w:bCs/>
          <w:color w:val="auto"/>
          <w:sz w:val="24"/>
          <w:highlight w:val="none"/>
          <w:u w:val="single"/>
          <w:lang w:eastAsia="zh-CN"/>
        </w:rPr>
        <w:t>）</w:t>
      </w:r>
      <w:r>
        <w:rPr>
          <w:rFonts w:hint="eastAsia" w:ascii="宋体" w:hAnsi="宋体" w:cs="宋体"/>
          <w:color w:val="auto"/>
          <w:sz w:val="24"/>
          <w:szCs w:val="28"/>
          <w:highlight w:val="none"/>
        </w:rPr>
        <w:t>。</w:t>
      </w:r>
      <w:bookmarkEnd w:id="6"/>
    </w:p>
    <w:p>
      <w:pPr>
        <w:spacing w:line="360" w:lineRule="exact"/>
        <w:ind w:firstLine="482" w:firstLineChars="200"/>
        <w:outlineLvl w:val="1"/>
        <w:rPr>
          <w:rFonts w:hint="eastAsia" w:ascii="宋体" w:hAnsi="宋体" w:cs="宋体"/>
          <w:color w:val="auto"/>
          <w:spacing w:val="-4"/>
          <w:sz w:val="24"/>
          <w:highlight w:val="none"/>
        </w:rPr>
      </w:pPr>
      <w:r>
        <w:rPr>
          <w:rFonts w:hint="eastAsia" w:ascii="宋体" w:hAnsi="宋体" w:cs="宋体"/>
          <w:b/>
          <w:color w:val="auto"/>
          <w:sz w:val="24"/>
          <w:highlight w:val="none"/>
        </w:rPr>
        <w:t>四、</w:t>
      </w:r>
      <w:bookmarkStart w:id="7" w:name="PO_默认文件内容_3"/>
      <w:r>
        <w:rPr>
          <w:rFonts w:hint="eastAsia" w:ascii="宋体" w:hAnsi="宋体" w:cs="宋体"/>
          <w:color w:val="auto"/>
          <w:spacing w:val="-4"/>
          <w:sz w:val="24"/>
          <w:highlight w:val="none"/>
        </w:rPr>
        <w:t>本次</w:t>
      </w:r>
      <w:bookmarkEnd w:id="7"/>
      <w:r>
        <w:rPr>
          <w:rFonts w:hint="eastAsia" w:ascii="宋体" w:hAnsi="宋体" w:cs="宋体"/>
          <w:color w:val="auto"/>
          <w:spacing w:val="-4"/>
          <w:sz w:val="24"/>
          <w:highlight w:val="none"/>
        </w:rPr>
        <w:t>项目询价邀请公告在新良大酒店官网、四川新良大厦有限责任公司5楼及1楼公示栏上发布；本项目更正、结果公告亦在新良大酒店官网、四川新良大厦有限责任公司5楼及1楼公示栏上发布。</w:t>
      </w:r>
    </w:p>
    <w:p>
      <w:pPr>
        <w:spacing w:line="360" w:lineRule="exact"/>
        <w:ind w:firstLine="482" w:firstLineChars="200"/>
        <w:outlineLvl w:val="1"/>
        <w:rPr>
          <w:rFonts w:hint="eastAsia" w:ascii="宋体" w:hAnsi="宋体" w:cs="宋体"/>
          <w:b/>
          <w:color w:val="auto"/>
          <w:sz w:val="24"/>
          <w:highlight w:val="none"/>
        </w:rPr>
      </w:pPr>
      <w:r>
        <w:rPr>
          <w:rFonts w:hint="eastAsia" w:ascii="宋体" w:hAnsi="宋体" w:cs="宋体"/>
          <w:b/>
          <w:color w:val="auto"/>
          <w:sz w:val="24"/>
          <w:highlight w:val="none"/>
        </w:rPr>
        <w:t>五、供应商参加本次采购活动应具备下列条件：</w:t>
      </w:r>
    </w:p>
    <w:p>
      <w:pPr>
        <w:spacing w:line="360" w:lineRule="exact"/>
        <w:ind w:firstLine="470" w:firstLineChars="196"/>
        <w:rPr>
          <w:rFonts w:hint="eastAsia" w:ascii="宋体" w:hAnsi="宋体" w:cs="宋体"/>
          <w:color w:val="auto"/>
          <w:sz w:val="24"/>
          <w:highlight w:val="none"/>
        </w:rPr>
      </w:pPr>
      <w:bookmarkStart w:id="8" w:name="PO_供应商资格条件_1"/>
      <w:r>
        <w:rPr>
          <w:rFonts w:hint="eastAsia" w:ascii="宋体" w:hAnsi="宋体" w:cs="宋体"/>
          <w:color w:val="auto"/>
          <w:sz w:val="24"/>
          <w:highlight w:val="none"/>
        </w:rPr>
        <w:t>1.具有独立承担民事责任的能力；</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2.具备良好商业信誉的证明材料；</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3.具有依法缴纳税收和社会保障资金的良好记录；</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4.具备履行合同所必需的设备和专业技术能力的证明材料；</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5.参加</w:t>
      </w:r>
      <w:r>
        <w:rPr>
          <w:rFonts w:hint="eastAsia" w:ascii="宋体" w:hAnsi="宋体" w:cs="宋体"/>
          <w:color w:val="auto"/>
          <w:sz w:val="24"/>
          <w:highlight w:val="none"/>
          <w:lang w:val="en-US" w:eastAsia="zh-CN"/>
        </w:rPr>
        <w:t>本次</w:t>
      </w:r>
      <w:r>
        <w:rPr>
          <w:rFonts w:hint="eastAsia" w:ascii="宋体" w:hAnsi="宋体" w:cs="宋体"/>
          <w:color w:val="auto"/>
          <w:sz w:val="24"/>
          <w:highlight w:val="none"/>
        </w:rPr>
        <w:t>采购活动前</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近</w:t>
      </w:r>
      <w:r>
        <w:rPr>
          <w:rFonts w:hint="eastAsia" w:ascii="宋体" w:hAnsi="宋体" w:cs="宋体"/>
          <w:color w:val="auto"/>
          <w:sz w:val="24"/>
          <w:highlight w:val="none"/>
        </w:rPr>
        <w:t>3年内在经营活动中没有重大违法记录；</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6.具备法律、行政法规规定的其他条件的证明材料；</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7.具备不少于2</w:t>
      </w:r>
      <w:r>
        <w:rPr>
          <w:rFonts w:hint="eastAsia" w:ascii="宋体" w:hAnsi="宋体" w:cs="宋体"/>
          <w:color w:val="auto"/>
          <w:sz w:val="24"/>
          <w:highlight w:val="none"/>
          <w:lang w:val="en-US" w:eastAsia="zh-CN"/>
        </w:rPr>
        <w:t>个安装（侧重机电）工程造价咨询服务</w:t>
      </w:r>
      <w:r>
        <w:rPr>
          <w:rFonts w:hint="eastAsia" w:ascii="宋体" w:hAnsi="宋体" w:cs="宋体"/>
          <w:color w:val="auto"/>
          <w:sz w:val="24"/>
          <w:highlight w:val="none"/>
        </w:rPr>
        <w:t>业绩证明材料。</w:t>
      </w:r>
    </w:p>
    <w:bookmarkEnd w:id="8"/>
    <w:p>
      <w:pPr>
        <w:spacing w:line="360" w:lineRule="exact"/>
        <w:ind w:firstLine="482" w:firstLineChars="200"/>
        <w:outlineLvl w:val="1"/>
        <w:rPr>
          <w:rFonts w:hint="eastAsia" w:ascii="宋体" w:hAnsi="宋体" w:cs="宋体"/>
          <w:b/>
          <w:color w:val="auto"/>
          <w:sz w:val="24"/>
          <w:highlight w:val="none"/>
        </w:rPr>
      </w:pPr>
      <w:r>
        <w:rPr>
          <w:rFonts w:hint="eastAsia" w:ascii="宋体" w:hAnsi="宋体" w:cs="宋体"/>
          <w:b/>
          <w:color w:val="auto"/>
          <w:sz w:val="24"/>
          <w:highlight w:val="none"/>
        </w:rPr>
        <w:t>六、询价采购最高控制价</w:t>
      </w:r>
    </w:p>
    <w:p>
      <w:pPr>
        <w:spacing w:line="360" w:lineRule="exact"/>
        <w:ind w:firstLine="482" w:firstLineChars="200"/>
        <w:outlineLvl w:val="1"/>
        <w:rPr>
          <w:rFonts w:hint="eastAsia" w:ascii="宋体" w:hAnsi="宋体" w:cs="宋体"/>
          <w:b/>
          <w:color w:val="auto"/>
          <w:sz w:val="24"/>
          <w:highlight w:val="none"/>
        </w:rPr>
      </w:pPr>
      <w:r>
        <w:rPr>
          <w:rFonts w:hint="eastAsia" w:ascii="宋体" w:hAnsi="宋体" w:cs="宋体"/>
          <w:b/>
          <w:color w:val="auto"/>
          <w:sz w:val="24"/>
          <w:highlight w:val="none"/>
        </w:rPr>
        <w:t>本项目采购最高限价为</w:t>
      </w:r>
      <w:r>
        <w:rPr>
          <w:rFonts w:hint="eastAsia" w:ascii="宋体" w:hAnsi="宋体" w:cs="宋体"/>
          <w:b/>
          <w:color w:val="auto"/>
          <w:sz w:val="24"/>
          <w:highlight w:val="none"/>
          <w:lang w:val="en-US" w:eastAsia="zh-CN"/>
        </w:rPr>
        <w:t>8000</w:t>
      </w:r>
      <w:r>
        <w:rPr>
          <w:rFonts w:hint="eastAsia" w:ascii="宋体" w:hAnsi="宋体" w:cs="宋体"/>
          <w:b/>
          <w:color w:val="auto"/>
          <w:sz w:val="24"/>
          <w:highlight w:val="none"/>
        </w:rPr>
        <w:t>元（含税），超过限价的文件按无效处理。</w:t>
      </w:r>
    </w:p>
    <w:p>
      <w:pPr>
        <w:spacing w:line="360" w:lineRule="exact"/>
        <w:ind w:firstLine="482" w:firstLineChars="200"/>
        <w:outlineLvl w:val="1"/>
        <w:rPr>
          <w:rFonts w:hint="eastAsia" w:ascii="宋体" w:hAnsi="宋体" w:cs="宋体"/>
          <w:b/>
          <w:color w:val="auto"/>
          <w:sz w:val="24"/>
          <w:highlight w:val="none"/>
        </w:rPr>
      </w:pPr>
      <w:r>
        <w:rPr>
          <w:rFonts w:hint="eastAsia" w:ascii="宋体" w:hAnsi="宋体" w:cs="宋体"/>
          <w:b/>
          <w:color w:val="auto"/>
          <w:sz w:val="24"/>
          <w:highlight w:val="none"/>
        </w:rPr>
        <w:t>七、询价通知书获取方式、时间、地点：</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询价通知书自2024年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日在</w:t>
      </w:r>
      <w:bookmarkStart w:id="9" w:name="PO_默认文件内容_24"/>
      <w:r>
        <w:rPr>
          <w:rFonts w:hint="eastAsia" w:ascii="宋体" w:hAnsi="宋体" w:cs="宋体"/>
          <w:color w:val="auto"/>
          <w:sz w:val="24"/>
          <w:highlight w:val="none"/>
        </w:rPr>
        <w:t>我司指定网站</w:t>
      </w:r>
      <w:r>
        <w:rPr>
          <w:rFonts w:hint="eastAsia" w:ascii="宋体" w:hAnsi="宋体" w:cs="宋体"/>
          <w:color w:val="auto"/>
          <w:sz w:val="24"/>
          <w:highlight w:val="none"/>
          <w:lang w:eastAsia="zh-CN"/>
        </w:rPr>
        <w:t>（</w:t>
      </w:r>
      <w:r>
        <w:rPr>
          <w:rFonts w:hint="eastAsia" w:ascii="宋体" w:hAnsi="宋体" w:cs="宋体"/>
          <w:color w:val="auto"/>
          <w:sz w:val="24"/>
          <w:highlight w:val="none"/>
        </w:rPr>
        <w:t>http://www.</w:t>
      </w:r>
      <w:r>
        <w:rPr>
          <w:rFonts w:hint="eastAsia" w:ascii="宋体" w:hAnsi="宋体" w:cs="宋体"/>
          <w:color w:val="auto"/>
          <w:sz w:val="24"/>
          <w:highlight w:val="none"/>
          <w:lang w:val="en-US" w:eastAsia="zh-CN"/>
        </w:rPr>
        <w:t>x</w:t>
      </w:r>
      <w:r>
        <w:rPr>
          <w:rFonts w:hint="eastAsia" w:ascii="宋体" w:hAnsi="宋体" w:cs="宋体"/>
          <w:color w:val="auto"/>
          <w:sz w:val="24"/>
          <w:highlight w:val="none"/>
        </w:rPr>
        <w:t>inlianghotel.com.cn</w:t>
      </w:r>
      <w:r>
        <w:rPr>
          <w:rFonts w:hint="eastAsia" w:ascii="宋体" w:hAnsi="宋体" w:cs="宋体"/>
          <w:color w:val="auto"/>
          <w:sz w:val="24"/>
          <w:highlight w:val="none"/>
          <w:lang w:eastAsia="zh-CN"/>
        </w:rPr>
        <w:t>）</w:t>
      </w:r>
      <w:r>
        <w:rPr>
          <w:rFonts w:hint="eastAsia" w:ascii="宋体" w:hAnsi="宋体" w:cs="宋体"/>
          <w:color w:val="auto"/>
          <w:sz w:val="24"/>
          <w:highlight w:val="none"/>
        </w:rPr>
        <w:t>获取，具体获取流程：上述指定网站首页“动态”→“最新动态”→找到对应采购项目文件下载。</w:t>
      </w:r>
    </w:p>
    <w:bookmarkEnd w:id="9"/>
    <w:p>
      <w:pPr>
        <w:spacing w:after="120" w:line="360" w:lineRule="exact"/>
        <w:ind w:firstLine="482" w:firstLineChars="200"/>
        <w:outlineLvl w:val="1"/>
        <w:rPr>
          <w:rFonts w:hint="eastAsia" w:ascii="宋体" w:hAnsi="宋体" w:cs="宋体"/>
          <w:color w:val="auto"/>
          <w:sz w:val="24"/>
          <w:szCs w:val="28"/>
          <w:highlight w:val="none"/>
        </w:rPr>
      </w:pPr>
      <w:r>
        <w:rPr>
          <w:rFonts w:hint="eastAsia" w:ascii="宋体" w:hAnsi="宋体" w:cs="宋体"/>
          <w:b/>
          <w:color w:val="auto"/>
          <w:sz w:val="24"/>
          <w:szCs w:val="28"/>
          <w:highlight w:val="none"/>
        </w:rPr>
        <w:t>八、递交响应文件</w:t>
      </w:r>
      <w:r>
        <w:rPr>
          <w:rFonts w:hint="eastAsia" w:ascii="宋体" w:hAnsi="宋体" w:cs="宋体"/>
          <w:b/>
          <w:color w:val="auto"/>
          <w:sz w:val="24"/>
          <w:highlight w:val="none"/>
        </w:rPr>
        <w:t>截止及响应文件开启时间同为：</w:t>
      </w:r>
      <w:r>
        <w:rPr>
          <w:rFonts w:hint="eastAsia" w:ascii="宋体" w:hAnsi="宋体" w:cs="宋体"/>
          <w:color w:val="auto"/>
          <w:sz w:val="24"/>
          <w:szCs w:val="28"/>
          <w:highlight w:val="none"/>
        </w:rPr>
        <w:t>202</w:t>
      </w:r>
      <w:r>
        <w:rPr>
          <w:rFonts w:hint="eastAsia" w:ascii="宋体" w:hAnsi="宋体" w:cs="宋体"/>
          <w:color w:val="auto"/>
          <w:sz w:val="24"/>
          <w:szCs w:val="28"/>
          <w:highlight w:val="none"/>
          <w:lang w:val="en-US" w:eastAsia="zh-CN"/>
        </w:rPr>
        <w:t>5</w:t>
      </w:r>
      <w:r>
        <w:rPr>
          <w:rFonts w:hint="eastAsia" w:ascii="宋体" w:hAnsi="宋体" w:cs="宋体"/>
          <w:color w:val="auto"/>
          <w:sz w:val="24"/>
          <w:szCs w:val="28"/>
          <w:highlight w:val="none"/>
        </w:rPr>
        <w:t>年</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w:t>
      </w:r>
      <w:r>
        <w:rPr>
          <w:rFonts w:hint="eastAsia" w:ascii="宋体" w:hAnsi="宋体" w:cs="宋体"/>
          <w:color w:val="auto"/>
          <w:sz w:val="24"/>
          <w:szCs w:val="28"/>
          <w:highlight w:val="none"/>
        </w:rPr>
        <w:t>9</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30（北京时间）。</w:t>
      </w:r>
    </w:p>
    <w:p>
      <w:pPr>
        <w:spacing w:after="120" w:line="360" w:lineRule="exact"/>
        <w:ind w:firstLine="482" w:firstLineChars="200"/>
        <w:outlineLvl w:val="1"/>
        <w:rPr>
          <w:rFonts w:hint="eastAsia" w:ascii="宋体" w:hAnsi="宋体" w:cs="宋体"/>
          <w:color w:val="auto"/>
          <w:sz w:val="24"/>
          <w:szCs w:val="28"/>
          <w:highlight w:val="none"/>
        </w:rPr>
      </w:pPr>
      <w:r>
        <w:rPr>
          <w:rFonts w:hint="eastAsia" w:ascii="宋体" w:hAnsi="宋体" w:cs="宋体"/>
          <w:b/>
          <w:color w:val="auto"/>
          <w:sz w:val="24"/>
          <w:highlight w:val="none"/>
        </w:rPr>
        <w:t>九、递交响应文件地点：</w:t>
      </w:r>
      <w:bookmarkStart w:id="10" w:name="PO_默认文件内容_7"/>
      <w:r>
        <w:rPr>
          <w:rFonts w:hint="eastAsia" w:ascii="宋体" w:hAnsi="宋体" w:cs="宋体"/>
          <w:color w:val="auto"/>
          <w:sz w:val="24"/>
          <w:highlight w:val="none"/>
        </w:rPr>
        <w:t>响应文件必须在递交响应文件截止时间前送达询价地点。逾期送达或没有密封的响应文件恕不接收。本次采购不接收邮寄的响应文件。</w:t>
      </w:r>
      <w:bookmarkEnd w:id="10"/>
      <w:r>
        <w:rPr>
          <w:rFonts w:hint="eastAsia" w:ascii="宋体" w:hAnsi="宋体" w:cs="宋体"/>
          <w:b/>
          <w:color w:val="auto"/>
          <w:sz w:val="24"/>
          <w:highlight w:val="none"/>
        </w:rPr>
        <w:t>（</w:t>
      </w:r>
      <w:r>
        <w:rPr>
          <w:rFonts w:hint="eastAsia" w:ascii="宋体" w:hAnsi="宋体" w:cs="宋体"/>
          <w:b/>
          <w:bCs/>
          <w:color w:val="auto"/>
          <w:sz w:val="24"/>
          <w:highlight w:val="none"/>
        </w:rPr>
        <w:t>文件接收时间：202</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月 </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日9</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00北京时间-202</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日9</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30北京时间）</w:t>
      </w:r>
    </w:p>
    <w:p>
      <w:pPr>
        <w:spacing w:line="360" w:lineRule="exact"/>
        <w:ind w:firstLine="482" w:firstLineChars="200"/>
        <w:outlineLvl w:val="1"/>
        <w:rPr>
          <w:rFonts w:hint="eastAsia" w:ascii="宋体" w:hAnsi="宋体" w:cs="宋体"/>
          <w:b/>
          <w:color w:val="auto"/>
          <w:sz w:val="24"/>
          <w:highlight w:val="none"/>
        </w:rPr>
      </w:pPr>
      <w:r>
        <w:rPr>
          <w:rFonts w:hint="eastAsia" w:ascii="宋体" w:hAnsi="宋体" w:cs="宋体"/>
          <w:b/>
          <w:color w:val="auto"/>
          <w:sz w:val="24"/>
          <w:highlight w:val="none"/>
        </w:rPr>
        <w:t>十、询价地点：新良大酒店6楼。</w:t>
      </w:r>
    </w:p>
    <w:p>
      <w:pPr>
        <w:spacing w:line="360" w:lineRule="exact"/>
        <w:ind w:firstLine="482" w:firstLineChars="200"/>
        <w:outlineLvl w:val="1"/>
        <w:rPr>
          <w:rFonts w:hint="eastAsia" w:ascii="宋体" w:hAnsi="宋体" w:cs="宋体"/>
          <w:b/>
          <w:color w:val="auto"/>
          <w:sz w:val="24"/>
          <w:highlight w:val="none"/>
        </w:rPr>
      </w:pPr>
      <w:r>
        <w:rPr>
          <w:rFonts w:hint="eastAsia" w:ascii="宋体" w:hAnsi="宋体" w:cs="宋体"/>
          <w:b/>
          <w:color w:val="auto"/>
          <w:sz w:val="24"/>
          <w:highlight w:val="none"/>
        </w:rPr>
        <w:t>十一、联系方式</w:t>
      </w:r>
    </w:p>
    <w:p>
      <w:pPr>
        <w:tabs>
          <w:tab w:val="left" w:pos="2310"/>
        </w:tabs>
        <w:spacing w:line="360" w:lineRule="exact"/>
        <w:ind w:right="420" w:rightChars="200" w:firstLine="1205" w:firstLineChars="500"/>
        <w:rPr>
          <w:rFonts w:hint="eastAsia" w:ascii="宋体" w:hAnsi="宋体" w:cs="宋体"/>
          <w:b/>
          <w:bCs/>
          <w:color w:val="auto"/>
          <w:sz w:val="24"/>
          <w:highlight w:val="none"/>
        </w:rPr>
      </w:pPr>
      <w:r>
        <w:rPr>
          <w:rFonts w:hint="eastAsia" w:ascii="宋体" w:hAnsi="宋体" w:cs="宋体"/>
          <w:b/>
          <w:bCs/>
          <w:color w:val="auto"/>
          <w:sz w:val="24"/>
          <w:highlight w:val="none"/>
        </w:rPr>
        <w:t>采购人：四川新良大厦有限责任公司</w:t>
      </w:r>
    </w:p>
    <w:p>
      <w:pPr>
        <w:tabs>
          <w:tab w:val="left" w:pos="2310"/>
        </w:tabs>
        <w:spacing w:line="360" w:lineRule="exact"/>
        <w:ind w:right="420" w:rightChars="200" w:firstLine="1200" w:firstLineChars="500"/>
        <w:rPr>
          <w:rFonts w:hint="eastAsia" w:ascii="宋体" w:hAnsi="宋体" w:cs="宋体"/>
          <w:bCs/>
          <w:color w:val="auto"/>
          <w:sz w:val="24"/>
          <w:highlight w:val="none"/>
        </w:rPr>
      </w:pPr>
      <w:r>
        <w:rPr>
          <w:rFonts w:hint="eastAsia" w:ascii="宋体" w:hAnsi="宋体" w:cs="宋体"/>
          <w:bCs/>
          <w:color w:val="auto"/>
          <w:sz w:val="24"/>
          <w:highlight w:val="none"/>
        </w:rPr>
        <w:t>地    址：成都市锦江区东大街上东大街段246号</w:t>
      </w:r>
    </w:p>
    <w:p>
      <w:pPr>
        <w:tabs>
          <w:tab w:val="left" w:pos="2310"/>
        </w:tabs>
        <w:spacing w:line="360" w:lineRule="exact"/>
        <w:ind w:right="420" w:rightChars="200" w:firstLine="1200" w:firstLineChars="500"/>
        <w:rPr>
          <w:rFonts w:hint="eastAsia" w:ascii="宋体" w:hAnsi="宋体" w:cs="宋体"/>
          <w:bCs/>
          <w:color w:val="auto"/>
          <w:sz w:val="24"/>
          <w:highlight w:val="none"/>
        </w:rPr>
      </w:pPr>
      <w:r>
        <w:rPr>
          <w:rFonts w:hint="eastAsia" w:ascii="宋体" w:hAnsi="宋体" w:cs="宋体"/>
          <w:bCs/>
          <w:color w:val="auto"/>
          <w:sz w:val="24"/>
          <w:highlight w:val="none"/>
        </w:rPr>
        <w:t>联 系 人：</w:t>
      </w:r>
      <w:r>
        <w:rPr>
          <w:rFonts w:hint="eastAsia" w:ascii="宋体" w:hAnsi="宋体" w:cs="宋体"/>
          <w:bCs/>
          <w:color w:val="auto"/>
          <w:sz w:val="24"/>
          <w:highlight w:val="none"/>
          <w:lang w:val="en-US" w:eastAsia="zh-CN"/>
        </w:rPr>
        <w:t>范女士</w:t>
      </w:r>
    </w:p>
    <w:p>
      <w:pPr>
        <w:tabs>
          <w:tab w:val="left" w:pos="2310"/>
        </w:tabs>
        <w:spacing w:line="360" w:lineRule="exact"/>
        <w:ind w:right="420" w:rightChars="200" w:firstLine="1200" w:firstLineChars="500"/>
        <w:rPr>
          <w:rFonts w:hint="eastAsia" w:ascii="宋体" w:hAnsi="宋体" w:cs="宋体"/>
          <w:bCs/>
          <w:color w:val="auto"/>
          <w:sz w:val="24"/>
          <w:highlight w:val="none"/>
        </w:rPr>
      </w:pPr>
      <w:r>
        <w:rPr>
          <w:rFonts w:hint="eastAsia" w:ascii="宋体" w:hAnsi="宋体" w:cs="宋体"/>
          <w:bCs/>
          <w:color w:val="auto"/>
          <w:sz w:val="24"/>
          <w:highlight w:val="none"/>
        </w:rPr>
        <w:t>电    话：</w:t>
      </w:r>
      <w:r>
        <w:rPr>
          <w:rFonts w:hint="eastAsia" w:ascii="宋体" w:hAnsi="宋体" w:cs="宋体"/>
          <w:bCs/>
          <w:color w:val="auto"/>
          <w:sz w:val="24"/>
          <w:highlight w:val="none"/>
          <w:lang w:val="en-US" w:eastAsia="zh-CN"/>
        </w:rPr>
        <w:t>028-86739905</w:t>
      </w: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0" w:firstLineChars="0"/>
        <w:rPr>
          <w:rFonts w:hint="eastAsia" w:ascii="宋体" w:hAnsi="宋体" w:cs="宋体"/>
          <w:b/>
          <w:bCs/>
          <w:color w:val="auto"/>
          <w:sz w:val="24"/>
          <w:highlight w:val="none"/>
        </w:rPr>
      </w:pP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pStyle w:val="22"/>
        <w:spacing w:line="360" w:lineRule="exact"/>
        <w:rPr>
          <w:rFonts w:hint="eastAsia" w:ascii="宋体" w:hAnsi="宋体" w:cs="宋体"/>
          <w:color w:val="auto"/>
          <w:highlight w:val="none"/>
        </w:rPr>
      </w:pPr>
      <w:bookmarkStart w:id="11" w:name="_Toc94213282"/>
      <w:bookmarkStart w:id="12" w:name="_Toc20618"/>
      <w:bookmarkStart w:id="13" w:name="_Toc27127"/>
      <w:bookmarkStart w:id="14" w:name="_Toc19253"/>
      <w:bookmarkStart w:id="15" w:name="_Toc4361"/>
      <w:r>
        <w:rPr>
          <w:rFonts w:hint="eastAsia" w:ascii="宋体" w:hAnsi="宋体" w:cs="宋体"/>
          <w:color w:val="auto"/>
          <w:highlight w:val="none"/>
        </w:rPr>
        <w:t>第二章  询价须知</w:t>
      </w:r>
      <w:bookmarkEnd w:id="11"/>
      <w:bookmarkEnd w:id="12"/>
      <w:bookmarkEnd w:id="13"/>
      <w:bookmarkEnd w:id="14"/>
      <w:bookmarkEnd w:id="15"/>
    </w:p>
    <w:p>
      <w:pPr>
        <w:pStyle w:val="3"/>
        <w:keepNext w:val="0"/>
        <w:keepLines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一、供应商须知附表</w:t>
      </w:r>
    </w:p>
    <w:tbl>
      <w:tblPr>
        <w:tblStyle w:val="26"/>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28"/>
        <w:gridCol w:w="2594"/>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828" w:type="dxa"/>
            <w:vAlign w:val="center"/>
          </w:tcPr>
          <w:p>
            <w:pPr>
              <w:pStyle w:val="48"/>
              <w:spacing w:line="360" w:lineRule="exact"/>
              <w:ind w:left="9"/>
              <w:jc w:val="center"/>
              <w:rPr>
                <w:rFonts w:hint="eastAsia"/>
                <w:color w:val="auto"/>
                <w:sz w:val="21"/>
                <w:szCs w:val="21"/>
                <w:highlight w:val="none"/>
                <w:lang w:val="zh-CN"/>
              </w:rPr>
            </w:pPr>
            <w:r>
              <w:rPr>
                <w:rFonts w:hint="eastAsia"/>
                <w:color w:val="auto"/>
                <w:sz w:val="21"/>
                <w:szCs w:val="21"/>
                <w:highlight w:val="none"/>
                <w:lang w:val="zh-CN"/>
              </w:rPr>
              <w:t xml:space="preserve">序号 </w:t>
            </w:r>
          </w:p>
        </w:tc>
        <w:tc>
          <w:tcPr>
            <w:tcW w:w="2594" w:type="dxa"/>
            <w:vAlign w:val="center"/>
          </w:tcPr>
          <w:p>
            <w:pPr>
              <w:pStyle w:val="48"/>
              <w:spacing w:line="360" w:lineRule="exact"/>
              <w:ind w:left="38"/>
              <w:jc w:val="center"/>
              <w:rPr>
                <w:rFonts w:hint="eastAsia"/>
                <w:color w:val="auto"/>
                <w:sz w:val="21"/>
                <w:szCs w:val="21"/>
                <w:highlight w:val="none"/>
                <w:lang w:val="zh-CN"/>
              </w:rPr>
            </w:pPr>
            <w:r>
              <w:rPr>
                <w:rFonts w:hint="eastAsia"/>
                <w:color w:val="auto"/>
                <w:sz w:val="21"/>
                <w:szCs w:val="21"/>
                <w:highlight w:val="none"/>
                <w:lang w:val="zh-CN"/>
              </w:rPr>
              <w:t xml:space="preserve">应知事项 </w:t>
            </w:r>
          </w:p>
        </w:tc>
        <w:tc>
          <w:tcPr>
            <w:tcW w:w="6084" w:type="dxa"/>
            <w:vAlign w:val="center"/>
          </w:tcPr>
          <w:p>
            <w:pPr>
              <w:pStyle w:val="48"/>
              <w:spacing w:line="360" w:lineRule="exact"/>
              <w:jc w:val="center"/>
              <w:rPr>
                <w:rFonts w:hint="eastAsia"/>
                <w:color w:val="auto"/>
                <w:sz w:val="21"/>
                <w:szCs w:val="21"/>
                <w:highlight w:val="none"/>
                <w:lang w:val="zh-CN"/>
              </w:rPr>
            </w:pPr>
            <w:r>
              <w:rPr>
                <w:rFonts w:hint="eastAsia"/>
                <w:color w:val="auto"/>
                <w:sz w:val="21"/>
                <w:szCs w:val="21"/>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828"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lang w:val="zh-CN"/>
              </w:rPr>
              <w:t>1</w:t>
            </w:r>
          </w:p>
        </w:tc>
        <w:tc>
          <w:tcPr>
            <w:tcW w:w="2594" w:type="dxa"/>
            <w:vAlign w:val="center"/>
          </w:tcPr>
          <w:p>
            <w:pPr>
              <w:pStyle w:val="48"/>
              <w:spacing w:line="360" w:lineRule="exact"/>
              <w:ind w:left="38"/>
              <w:jc w:val="center"/>
              <w:rPr>
                <w:rFonts w:hint="eastAsia"/>
                <w:color w:val="auto"/>
                <w:sz w:val="21"/>
                <w:szCs w:val="21"/>
                <w:highlight w:val="none"/>
                <w:lang w:val="zh-CN"/>
              </w:rPr>
            </w:pPr>
            <w:r>
              <w:rPr>
                <w:rFonts w:hint="eastAsia"/>
                <w:color w:val="auto"/>
                <w:sz w:val="21"/>
                <w:szCs w:val="21"/>
                <w:highlight w:val="none"/>
                <w:lang w:val="zh-CN"/>
              </w:rPr>
              <w:t>采购预算</w:t>
            </w:r>
          </w:p>
          <w:p>
            <w:pPr>
              <w:pStyle w:val="48"/>
              <w:spacing w:line="360" w:lineRule="exact"/>
              <w:ind w:left="38"/>
              <w:jc w:val="center"/>
              <w:rPr>
                <w:rFonts w:hint="eastAsia"/>
                <w:b/>
                <w:color w:val="auto"/>
                <w:sz w:val="21"/>
                <w:szCs w:val="21"/>
                <w:highlight w:val="none"/>
                <w:lang w:val="zh-CN"/>
              </w:rPr>
            </w:pPr>
            <w:r>
              <w:rPr>
                <w:rFonts w:hint="eastAsia"/>
                <w:b/>
                <w:color w:val="auto"/>
                <w:sz w:val="21"/>
                <w:szCs w:val="21"/>
                <w:highlight w:val="none"/>
                <w:lang w:val="zh-CN"/>
              </w:rPr>
              <w:t>（实质性要求）</w:t>
            </w:r>
          </w:p>
        </w:tc>
        <w:tc>
          <w:tcPr>
            <w:tcW w:w="6084" w:type="dxa"/>
          </w:tcPr>
          <w:p>
            <w:pPr>
              <w:pStyle w:val="48"/>
              <w:spacing w:line="360" w:lineRule="exact"/>
              <w:ind w:firstLine="0" w:firstLineChars="0"/>
              <w:jc w:val="both"/>
              <w:rPr>
                <w:rFonts w:hint="eastAsia"/>
                <w:color w:val="auto"/>
                <w:sz w:val="21"/>
                <w:szCs w:val="21"/>
                <w:highlight w:val="none"/>
                <w:lang w:val="zh-CN"/>
              </w:rPr>
            </w:pPr>
            <w:r>
              <w:rPr>
                <w:rFonts w:hint="eastAsia"/>
                <w:color w:val="auto"/>
                <w:sz w:val="21"/>
                <w:szCs w:val="21"/>
                <w:highlight w:val="none"/>
                <w:lang w:val="zh-CN"/>
              </w:rPr>
              <w:t>人民币</w:t>
            </w:r>
            <w:r>
              <w:rPr>
                <w:rFonts w:hint="eastAsia"/>
                <w:color w:val="auto"/>
                <w:sz w:val="21"/>
                <w:szCs w:val="21"/>
                <w:highlight w:val="none"/>
                <w:lang w:val="en-US" w:eastAsia="zh-CN"/>
              </w:rPr>
              <w:t>0.8</w:t>
            </w:r>
            <w:r>
              <w:rPr>
                <w:rStyle w:val="32"/>
                <w:rFonts w:hint="eastAsia" w:asciiTheme="minorHAnsi" w:hAnsiTheme="minorHAnsi" w:eastAsiaTheme="minorEastAsia" w:cstheme="minorBidi"/>
                <w:color w:val="auto"/>
                <w:kern w:val="2"/>
                <w:highlight w:val="none"/>
              </w:rPr>
              <w:t>万</w:t>
            </w:r>
            <w:r>
              <w:rPr>
                <w:rFonts w:hint="eastAsia"/>
                <w:color w:val="auto"/>
                <w:sz w:val="21"/>
                <w:szCs w:val="21"/>
                <w:highlight w:val="none"/>
                <w:lang w:val="zh-CN"/>
              </w:rPr>
              <w:t>元（</w:t>
            </w:r>
            <w:r>
              <w:rPr>
                <w:rFonts w:hint="eastAsia"/>
                <w:color w:val="auto"/>
                <w:sz w:val="21"/>
                <w:szCs w:val="21"/>
                <w:highlight w:val="none"/>
              </w:rPr>
              <w:t>含税</w:t>
            </w:r>
            <w:r>
              <w:rPr>
                <w:rFonts w:hint="eastAsia"/>
                <w:color w:val="auto"/>
                <w:sz w:val="21"/>
                <w:szCs w:val="21"/>
                <w:highlight w:val="none"/>
                <w:lang w:val="zh-CN"/>
              </w:rPr>
              <w:t>）</w:t>
            </w:r>
          </w:p>
          <w:p>
            <w:pPr>
              <w:pStyle w:val="48"/>
              <w:spacing w:line="360" w:lineRule="exact"/>
              <w:ind w:firstLine="0" w:firstLineChars="0"/>
              <w:jc w:val="both"/>
              <w:rPr>
                <w:rFonts w:hint="eastAsia"/>
                <w:color w:val="auto"/>
                <w:sz w:val="21"/>
                <w:szCs w:val="21"/>
                <w:highlight w:val="none"/>
                <w:lang w:val="zh-CN"/>
              </w:rPr>
            </w:pPr>
            <w:r>
              <w:rPr>
                <w:rFonts w:hint="eastAsia"/>
                <w:color w:val="auto"/>
                <w:sz w:val="21"/>
                <w:szCs w:val="21"/>
                <w:highlight w:val="none"/>
                <w:lang w:val="zh-CN"/>
              </w:rPr>
              <w:t>超过采购预算的报价，其响应文件按无效处理。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828"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lang w:val="zh-CN"/>
              </w:rPr>
              <w:t>2</w:t>
            </w:r>
          </w:p>
        </w:tc>
        <w:tc>
          <w:tcPr>
            <w:tcW w:w="2594" w:type="dxa"/>
            <w:vAlign w:val="center"/>
          </w:tcPr>
          <w:p>
            <w:pPr>
              <w:pStyle w:val="48"/>
              <w:spacing w:line="360" w:lineRule="exact"/>
              <w:ind w:left="38"/>
              <w:jc w:val="center"/>
              <w:rPr>
                <w:rFonts w:hint="eastAsia"/>
                <w:color w:val="auto"/>
                <w:sz w:val="21"/>
                <w:szCs w:val="21"/>
                <w:highlight w:val="none"/>
                <w:lang w:val="zh-CN"/>
              </w:rPr>
            </w:pPr>
            <w:r>
              <w:rPr>
                <w:rFonts w:hint="eastAsia"/>
                <w:color w:val="auto"/>
                <w:sz w:val="21"/>
                <w:szCs w:val="21"/>
                <w:highlight w:val="none"/>
                <w:lang w:val="zh-CN"/>
              </w:rPr>
              <w:t>最高限价</w:t>
            </w:r>
          </w:p>
          <w:p>
            <w:pPr>
              <w:pStyle w:val="48"/>
              <w:spacing w:line="360" w:lineRule="exact"/>
              <w:ind w:left="38"/>
              <w:jc w:val="center"/>
              <w:rPr>
                <w:rFonts w:hint="eastAsia"/>
                <w:b/>
                <w:color w:val="auto"/>
                <w:sz w:val="21"/>
                <w:szCs w:val="21"/>
                <w:highlight w:val="none"/>
                <w:lang w:val="zh-CN"/>
              </w:rPr>
            </w:pPr>
            <w:r>
              <w:rPr>
                <w:rFonts w:hint="eastAsia"/>
                <w:b/>
                <w:color w:val="auto"/>
                <w:sz w:val="21"/>
                <w:szCs w:val="21"/>
                <w:highlight w:val="none"/>
                <w:lang w:val="zh-CN"/>
              </w:rPr>
              <w:t>（实质性要求）</w:t>
            </w:r>
          </w:p>
        </w:tc>
        <w:tc>
          <w:tcPr>
            <w:tcW w:w="6084" w:type="dxa"/>
            <w:vAlign w:val="center"/>
          </w:tcPr>
          <w:p>
            <w:pPr>
              <w:pStyle w:val="48"/>
              <w:spacing w:line="360" w:lineRule="exact"/>
              <w:ind w:firstLine="0" w:firstLineChars="0"/>
              <w:jc w:val="both"/>
              <w:rPr>
                <w:rFonts w:hint="eastAsia"/>
                <w:color w:val="auto"/>
                <w:sz w:val="21"/>
                <w:szCs w:val="21"/>
                <w:highlight w:val="none"/>
              </w:rPr>
            </w:pPr>
            <w:r>
              <w:rPr>
                <w:rFonts w:hint="eastAsia"/>
                <w:color w:val="auto"/>
                <w:sz w:val="21"/>
                <w:szCs w:val="21"/>
                <w:highlight w:val="none"/>
                <w:lang w:val="zh-CN"/>
              </w:rPr>
              <w:t>人民币</w:t>
            </w:r>
            <w:r>
              <w:rPr>
                <w:rFonts w:hint="eastAsia"/>
                <w:color w:val="auto"/>
                <w:sz w:val="21"/>
                <w:szCs w:val="21"/>
                <w:highlight w:val="none"/>
                <w:lang w:val="en-US" w:eastAsia="zh-CN"/>
              </w:rPr>
              <w:t>0.8</w:t>
            </w:r>
            <w:r>
              <w:rPr>
                <w:rFonts w:hint="eastAsia"/>
                <w:color w:val="auto"/>
                <w:sz w:val="21"/>
                <w:szCs w:val="21"/>
                <w:highlight w:val="none"/>
              </w:rPr>
              <w:t>万元（含税）</w:t>
            </w:r>
          </w:p>
          <w:p>
            <w:pPr>
              <w:pStyle w:val="48"/>
              <w:spacing w:line="360" w:lineRule="exact"/>
              <w:ind w:firstLine="0" w:firstLineChars="0"/>
              <w:jc w:val="both"/>
              <w:rPr>
                <w:rFonts w:hint="eastAsia"/>
                <w:color w:val="auto"/>
                <w:sz w:val="21"/>
                <w:szCs w:val="21"/>
                <w:highlight w:val="none"/>
                <w:lang w:val="zh-CN"/>
              </w:rPr>
            </w:pPr>
            <w:bookmarkStart w:id="16" w:name="PO_默认文件内容_8"/>
            <w:r>
              <w:rPr>
                <w:rFonts w:hint="eastAsia"/>
                <w:color w:val="auto"/>
                <w:sz w:val="21"/>
                <w:szCs w:val="21"/>
                <w:highlight w:val="none"/>
                <w:lang w:val="zh-CN"/>
              </w:rPr>
              <w:t>超过最高限价的报价，其响应文件按无效处理。</w:t>
            </w:r>
            <w:bookmarkEnd w:id="16"/>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828"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rPr>
              <w:t>3</w:t>
            </w:r>
          </w:p>
        </w:tc>
        <w:tc>
          <w:tcPr>
            <w:tcW w:w="2594" w:type="dxa"/>
            <w:vAlign w:val="center"/>
          </w:tcPr>
          <w:p>
            <w:pPr>
              <w:pStyle w:val="48"/>
              <w:spacing w:line="360" w:lineRule="exact"/>
              <w:ind w:left="38"/>
              <w:jc w:val="center"/>
              <w:rPr>
                <w:rFonts w:hint="eastAsia"/>
                <w:color w:val="auto"/>
                <w:sz w:val="21"/>
                <w:szCs w:val="21"/>
                <w:highlight w:val="none"/>
                <w:lang w:val="zh-CN"/>
              </w:rPr>
            </w:pPr>
            <w:r>
              <w:rPr>
                <w:rFonts w:hint="eastAsia"/>
                <w:color w:val="auto"/>
                <w:sz w:val="21"/>
                <w:szCs w:val="21"/>
                <w:highlight w:val="none"/>
                <w:lang w:val="zh-CN"/>
              </w:rPr>
              <w:t>不正当竞争预防措施</w:t>
            </w:r>
          </w:p>
          <w:p>
            <w:pPr>
              <w:pStyle w:val="48"/>
              <w:spacing w:line="360" w:lineRule="exact"/>
              <w:ind w:left="38"/>
              <w:jc w:val="center"/>
              <w:rPr>
                <w:rFonts w:hint="eastAsia"/>
                <w:b/>
                <w:color w:val="auto"/>
                <w:sz w:val="21"/>
                <w:szCs w:val="21"/>
                <w:highlight w:val="none"/>
                <w:lang w:val="zh-CN"/>
              </w:rPr>
            </w:pPr>
            <w:r>
              <w:rPr>
                <w:rFonts w:hint="eastAsia"/>
                <w:b/>
                <w:color w:val="auto"/>
                <w:sz w:val="21"/>
                <w:szCs w:val="21"/>
                <w:highlight w:val="none"/>
                <w:lang w:val="zh-CN"/>
              </w:rPr>
              <w:t>（实质性要求）</w:t>
            </w:r>
          </w:p>
        </w:tc>
        <w:tc>
          <w:tcPr>
            <w:tcW w:w="6084" w:type="dxa"/>
          </w:tcPr>
          <w:p>
            <w:pPr>
              <w:pStyle w:val="48"/>
              <w:spacing w:line="360" w:lineRule="exact"/>
              <w:ind w:firstLine="0" w:firstLineChars="0"/>
              <w:jc w:val="both"/>
              <w:rPr>
                <w:rFonts w:hint="eastAsia"/>
                <w:color w:val="auto"/>
                <w:sz w:val="21"/>
                <w:szCs w:val="21"/>
                <w:highlight w:val="none"/>
                <w:lang w:val="zh-CN"/>
              </w:rPr>
            </w:pPr>
            <w:bookmarkStart w:id="17" w:name="PO_默认文件内容_111"/>
            <w:r>
              <w:rPr>
                <w:rFonts w:hint="eastAsia"/>
                <w:color w:val="auto"/>
                <w:sz w:val="21"/>
                <w:szCs w:val="21"/>
                <w:highlight w:val="none"/>
              </w:rPr>
              <w:t>询价小组认为供应商的报价明显低于其他通过有效性、完整性和响应程度审</w:t>
            </w:r>
            <w:r>
              <w:rPr>
                <w:rFonts w:hint="eastAsia"/>
                <w:color w:val="auto"/>
                <w:sz w:val="21"/>
                <w:szCs w:val="21"/>
                <w:highlight w:val="none"/>
                <w:lang w:eastAsia="zh-CN"/>
              </w:rPr>
              <w:t>查的</w:t>
            </w:r>
            <w:r>
              <w:rPr>
                <w:rFonts w:hint="eastAsia"/>
                <w:color w:val="auto"/>
                <w:sz w:val="21"/>
                <w:szCs w:val="21"/>
                <w:highlight w:val="none"/>
              </w:rPr>
              <w:t>供应商的报价，有可能影响产品质量或者不能诚信履约的，应当要求其在评审现场合理的时间内提供书面说明，必要时提交相关证明材料；供应商不能证明其报价合理性的，</w:t>
            </w:r>
            <w:r>
              <w:rPr>
                <w:rFonts w:hint="eastAsia"/>
                <w:color w:val="auto"/>
                <w:sz w:val="21"/>
                <w:szCs w:val="21"/>
                <w:highlight w:val="none"/>
                <w:lang w:val="en-US" w:eastAsia="zh-CN"/>
              </w:rPr>
              <w:t>询价小组</w:t>
            </w:r>
            <w:r>
              <w:rPr>
                <w:rFonts w:hint="eastAsia"/>
                <w:color w:val="auto"/>
                <w:sz w:val="21"/>
                <w:szCs w:val="21"/>
                <w:highlight w:val="none"/>
              </w:rPr>
              <w:t>应当将其作为无效响应处理。</w:t>
            </w:r>
            <w:bookmarkEnd w:id="17"/>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0" w:hRule="atLeast"/>
          <w:jc w:val="center"/>
        </w:trPr>
        <w:tc>
          <w:tcPr>
            <w:tcW w:w="828"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rPr>
              <w:t>4</w:t>
            </w:r>
          </w:p>
        </w:tc>
        <w:tc>
          <w:tcPr>
            <w:tcW w:w="2594" w:type="dxa"/>
            <w:vAlign w:val="center"/>
          </w:tcPr>
          <w:p>
            <w:pPr>
              <w:pStyle w:val="48"/>
              <w:spacing w:line="360" w:lineRule="exact"/>
              <w:ind w:left="38"/>
              <w:jc w:val="center"/>
              <w:rPr>
                <w:rFonts w:hint="eastAsia"/>
                <w:color w:val="auto"/>
                <w:sz w:val="21"/>
                <w:szCs w:val="21"/>
                <w:highlight w:val="none"/>
                <w:lang w:val="zh-CN"/>
              </w:rPr>
            </w:pPr>
            <w:r>
              <w:rPr>
                <w:rFonts w:hint="eastAsia"/>
                <w:color w:val="auto"/>
                <w:sz w:val="21"/>
                <w:szCs w:val="21"/>
                <w:highlight w:val="none"/>
                <w:lang w:val="zh-CN"/>
              </w:rPr>
              <w:t>询价保证金</w:t>
            </w:r>
          </w:p>
        </w:tc>
        <w:tc>
          <w:tcPr>
            <w:tcW w:w="6084" w:type="dxa"/>
            <w:vAlign w:val="center"/>
          </w:tcPr>
          <w:p>
            <w:pPr>
              <w:pStyle w:val="48"/>
              <w:spacing w:line="360" w:lineRule="exact"/>
              <w:ind w:firstLine="0" w:firstLineChars="0"/>
              <w:jc w:val="both"/>
              <w:rPr>
                <w:rFonts w:hint="eastAsia"/>
                <w:b/>
                <w:color w:val="auto"/>
                <w:sz w:val="21"/>
                <w:szCs w:val="21"/>
                <w:highlight w:val="none"/>
              </w:rPr>
            </w:pPr>
            <w:r>
              <w:rPr>
                <w:rFonts w:hint="eastAsia"/>
                <w:color w:val="auto"/>
                <w:sz w:val="21"/>
                <w:szCs w:val="21"/>
                <w:highlight w:val="none"/>
              </w:rPr>
              <w:t>本项目不收取。</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0" w:hRule="atLeast"/>
          <w:jc w:val="center"/>
        </w:trPr>
        <w:tc>
          <w:tcPr>
            <w:tcW w:w="828"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rPr>
              <w:t>5</w:t>
            </w:r>
          </w:p>
        </w:tc>
        <w:tc>
          <w:tcPr>
            <w:tcW w:w="2594" w:type="dxa"/>
            <w:vAlign w:val="center"/>
          </w:tcPr>
          <w:p>
            <w:pPr>
              <w:pStyle w:val="48"/>
              <w:spacing w:line="360" w:lineRule="exact"/>
              <w:ind w:left="38"/>
              <w:jc w:val="center"/>
              <w:rPr>
                <w:rFonts w:hint="eastAsia"/>
                <w:color w:val="auto"/>
                <w:sz w:val="21"/>
                <w:szCs w:val="21"/>
                <w:highlight w:val="none"/>
                <w:lang w:val="zh-CN"/>
              </w:rPr>
            </w:pPr>
            <w:r>
              <w:rPr>
                <w:rFonts w:hint="eastAsia"/>
                <w:color w:val="auto"/>
                <w:sz w:val="21"/>
                <w:szCs w:val="21"/>
                <w:highlight w:val="none"/>
                <w:lang w:val="zh-CN"/>
              </w:rPr>
              <w:t>履约保证金</w:t>
            </w:r>
          </w:p>
        </w:tc>
        <w:tc>
          <w:tcPr>
            <w:tcW w:w="6084" w:type="dxa"/>
            <w:vAlign w:val="center"/>
          </w:tcPr>
          <w:p>
            <w:pPr>
              <w:pStyle w:val="48"/>
              <w:spacing w:line="360" w:lineRule="exact"/>
              <w:ind w:firstLine="0" w:firstLineChars="0"/>
              <w:jc w:val="both"/>
              <w:rPr>
                <w:rFonts w:hint="eastAsia"/>
                <w:color w:val="auto"/>
                <w:sz w:val="21"/>
                <w:szCs w:val="21"/>
                <w:highlight w:val="none"/>
                <w:lang w:val="zh-CN"/>
              </w:rPr>
            </w:pPr>
            <w:bookmarkStart w:id="18" w:name="PO_默认文件内容_17"/>
            <w:r>
              <w:rPr>
                <w:rFonts w:hint="eastAsia"/>
                <w:color w:val="auto"/>
                <w:sz w:val="21"/>
                <w:szCs w:val="21"/>
                <w:highlight w:val="none"/>
              </w:rPr>
              <w:t>本项目不收取</w:t>
            </w:r>
            <w:r>
              <w:rPr>
                <w:rFonts w:hint="eastAsia"/>
                <w:color w:val="auto"/>
                <w:sz w:val="21"/>
                <w:szCs w:val="21"/>
                <w:highlight w:val="none"/>
                <w:lang w:val="zh-CN"/>
              </w:rPr>
              <w:t>。</w:t>
            </w:r>
            <w:bookmarkEnd w:id="18"/>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atLeast"/>
          <w:jc w:val="center"/>
        </w:trPr>
        <w:tc>
          <w:tcPr>
            <w:tcW w:w="828"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rPr>
              <w:t>6</w:t>
            </w:r>
          </w:p>
        </w:tc>
        <w:tc>
          <w:tcPr>
            <w:tcW w:w="2594" w:type="dxa"/>
            <w:vAlign w:val="center"/>
          </w:tcPr>
          <w:p>
            <w:pPr>
              <w:spacing w:line="360" w:lineRule="exact"/>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合同分包</w:t>
            </w:r>
          </w:p>
          <w:p>
            <w:pPr>
              <w:spacing w:line="360" w:lineRule="exact"/>
              <w:jc w:val="center"/>
              <w:rPr>
                <w:rFonts w:hint="eastAsia" w:ascii="宋体" w:hAnsi="宋体" w:cs="宋体"/>
                <w:b/>
                <w:color w:val="auto"/>
                <w:kern w:val="0"/>
                <w:szCs w:val="21"/>
                <w:highlight w:val="none"/>
                <w:lang w:val="zh-CN"/>
              </w:rPr>
            </w:pPr>
            <w:r>
              <w:rPr>
                <w:rFonts w:hint="eastAsia" w:ascii="宋体" w:hAnsi="宋体" w:cs="宋体"/>
                <w:b/>
                <w:color w:val="auto"/>
                <w:szCs w:val="21"/>
                <w:highlight w:val="none"/>
                <w:lang w:val="zh-CN"/>
              </w:rPr>
              <w:t>（实质性要求）</w:t>
            </w:r>
          </w:p>
        </w:tc>
        <w:tc>
          <w:tcPr>
            <w:tcW w:w="6084" w:type="dxa"/>
            <w:vAlign w:val="center"/>
          </w:tcPr>
          <w:p>
            <w:pPr>
              <w:pStyle w:val="48"/>
              <w:spacing w:line="360" w:lineRule="exact"/>
              <w:ind w:firstLine="0" w:firstLineChars="0"/>
              <w:jc w:val="both"/>
              <w:rPr>
                <w:rFonts w:hint="eastAsia"/>
                <w:color w:val="auto"/>
                <w:sz w:val="21"/>
                <w:szCs w:val="21"/>
                <w:highlight w:val="none"/>
                <w:lang w:val="zh-CN"/>
              </w:rPr>
            </w:pPr>
            <w:r>
              <w:rPr>
                <w:rFonts w:hint="eastAsia"/>
                <w:color w:val="auto"/>
                <w:sz w:val="21"/>
                <w:szCs w:val="21"/>
                <w:highlight w:val="none"/>
                <w:lang w:val="zh-CN"/>
              </w:rPr>
              <w:t>本项目不接受合同分包。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atLeast"/>
          <w:jc w:val="center"/>
        </w:trPr>
        <w:tc>
          <w:tcPr>
            <w:tcW w:w="828"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rPr>
              <w:t>7</w:t>
            </w:r>
          </w:p>
        </w:tc>
        <w:tc>
          <w:tcPr>
            <w:tcW w:w="2594" w:type="dxa"/>
            <w:vAlign w:val="center"/>
          </w:tcPr>
          <w:p>
            <w:pPr>
              <w:pStyle w:val="48"/>
              <w:spacing w:line="360" w:lineRule="exact"/>
              <w:ind w:left="38"/>
              <w:jc w:val="center"/>
              <w:rPr>
                <w:rFonts w:hint="eastAsia"/>
                <w:color w:val="auto"/>
                <w:sz w:val="21"/>
                <w:szCs w:val="21"/>
                <w:highlight w:val="none"/>
                <w:lang w:val="zh-CN"/>
              </w:rPr>
            </w:pPr>
            <w:r>
              <w:rPr>
                <w:rFonts w:hint="eastAsia"/>
                <w:color w:val="auto"/>
                <w:sz w:val="21"/>
                <w:szCs w:val="21"/>
                <w:highlight w:val="none"/>
                <w:lang w:val="zh-CN"/>
              </w:rPr>
              <w:t>询价文件咨询</w:t>
            </w:r>
          </w:p>
        </w:tc>
        <w:tc>
          <w:tcPr>
            <w:tcW w:w="6084" w:type="dxa"/>
            <w:vAlign w:val="center"/>
          </w:tcPr>
          <w:p>
            <w:pPr>
              <w:pStyle w:val="48"/>
              <w:spacing w:line="360" w:lineRule="exact"/>
              <w:ind w:firstLine="0" w:firstLineChars="0"/>
              <w:jc w:val="both"/>
              <w:rPr>
                <w:rFonts w:hint="eastAsia"/>
                <w:color w:val="auto"/>
                <w:sz w:val="21"/>
                <w:szCs w:val="21"/>
                <w:highlight w:val="none"/>
              </w:rPr>
            </w:pPr>
            <w:r>
              <w:rPr>
                <w:rFonts w:hint="eastAsia"/>
                <w:color w:val="auto"/>
                <w:sz w:val="21"/>
                <w:szCs w:val="21"/>
                <w:highlight w:val="none"/>
                <w:lang w:val="zh-CN"/>
              </w:rPr>
              <w:t>联系人：</w:t>
            </w:r>
            <w:r>
              <w:rPr>
                <w:rFonts w:hint="eastAsia" w:cs="宋体"/>
                <w:bCs/>
                <w:color w:val="auto"/>
                <w:sz w:val="21"/>
                <w:szCs w:val="21"/>
                <w:highlight w:val="none"/>
                <w:lang w:val="en-US" w:eastAsia="zh-CN"/>
              </w:rPr>
              <w:t>范女士</w:t>
            </w:r>
          </w:p>
          <w:p>
            <w:pPr>
              <w:pStyle w:val="48"/>
              <w:spacing w:line="360" w:lineRule="exact"/>
              <w:ind w:firstLine="0" w:firstLineChars="0"/>
              <w:jc w:val="both"/>
              <w:rPr>
                <w:rFonts w:hint="eastAsia"/>
                <w:color w:val="auto"/>
                <w:sz w:val="21"/>
                <w:szCs w:val="21"/>
                <w:highlight w:val="none"/>
                <w:lang w:val="zh-CN"/>
              </w:rPr>
            </w:pPr>
            <w:r>
              <w:rPr>
                <w:rFonts w:hint="eastAsia"/>
                <w:color w:val="auto"/>
                <w:sz w:val="21"/>
                <w:szCs w:val="21"/>
                <w:highlight w:val="none"/>
                <w:lang w:val="zh-CN"/>
              </w:rPr>
              <w:t>联系电话：</w:t>
            </w:r>
            <w:r>
              <w:rPr>
                <w:rFonts w:hint="eastAsia" w:ascii="宋体" w:hAnsi="宋体" w:cs="宋体"/>
                <w:bCs/>
                <w:color w:val="auto"/>
                <w:sz w:val="21"/>
                <w:szCs w:val="21"/>
                <w:highlight w:val="none"/>
                <w:lang w:val="en-US" w:eastAsia="zh-CN"/>
              </w:rPr>
              <w:t>028-86739905</w:t>
            </w:r>
            <w:r>
              <w:rPr>
                <w:rFonts w:hint="eastAsia"/>
                <w:color w:val="auto"/>
                <w:sz w:val="21"/>
                <w:szCs w:val="21"/>
                <w:highlight w:val="none"/>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828"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rPr>
              <w:t>8</w:t>
            </w:r>
          </w:p>
        </w:tc>
        <w:tc>
          <w:tcPr>
            <w:tcW w:w="2594"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lang w:val="zh-CN"/>
              </w:rPr>
              <w:t>询价过程、结果工作咨询</w:t>
            </w:r>
          </w:p>
        </w:tc>
        <w:tc>
          <w:tcPr>
            <w:tcW w:w="6084" w:type="dxa"/>
            <w:vAlign w:val="center"/>
          </w:tcPr>
          <w:p>
            <w:pPr>
              <w:pStyle w:val="48"/>
              <w:spacing w:line="360" w:lineRule="exact"/>
              <w:ind w:firstLine="0" w:firstLineChars="0"/>
              <w:jc w:val="both"/>
              <w:rPr>
                <w:rFonts w:hint="eastAsia"/>
                <w:color w:val="auto"/>
                <w:sz w:val="21"/>
                <w:szCs w:val="21"/>
                <w:highlight w:val="none"/>
                <w:lang w:val="zh-CN"/>
              </w:rPr>
            </w:pPr>
            <w:r>
              <w:rPr>
                <w:rFonts w:hint="eastAsia"/>
                <w:color w:val="auto"/>
                <w:sz w:val="21"/>
                <w:szCs w:val="21"/>
                <w:highlight w:val="none"/>
                <w:lang w:val="zh-CN"/>
              </w:rPr>
              <w:t>联系人：</w:t>
            </w:r>
            <w:r>
              <w:rPr>
                <w:rFonts w:hint="eastAsia" w:cs="宋体"/>
                <w:bCs/>
                <w:color w:val="auto"/>
                <w:sz w:val="21"/>
                <w:szCs w:val="21"/>
                <w:highlight w:val="none"/>
                <w:lang w:val="en-US" w:eastAsia="zh-CN"/>
              </w:rPr>
              <w:t>范女士</w:t>
            </w:r>
          </w:p>
          <w:p>
            <w:pPr>
              <w:pStyle w:val="48"/>
              <w:spacing w:line="360" w:lineRule="exact"/>
              <w:ind w:firstLine="0" w:firstLineChars="0"/>
              <w:jc w:val="both"/>
              <w:rPr>
                <w:rFonts w:hint="eastAsia"/>
                <w:color w:val="auto"/>
                <w:sz w:val="21"/>
                <w:szCs w:val="21"/>
                <w:highlight w:val="none"/>
                <w:lang w:val="zh-CN"/>
              </w:rPr>
            </w:pPr>
            <w:r>
              <w:rPr>
                <w:rFonts w:hint="eastAsia"/>
                <w:color w:val="auto"/>
                <w:sz w:val="21"/>
                <w:szCs w:val="21"/>
                <w:highlight w:val="none"/>
                <w:lang w:val="zh-CN"/>
              </w:rPr>
              <w:t>联系电话：</w:t>
            </w:r>
            <w:r>
              <w:rPr>
                <w:rFonts w:hint="eastAsia" w:ascii="宋体" w:hAnsi="宋体" w:cs="宋体"/>
                <w:bCs/>
                <w:color w:val="auto"/>
                <w:sz w:val="21"/>
                <w:szCs w:val="21"/>
                <w:highlight w:val="none"/>
                <w:lang w:val="en-US" w:eastAsia="zh-CN"/>
              </w:rPr>
              <w:t>028-86739905</w:t>
            </w:r>
            <w:r>
              <w:rPr>
                <w:rFonts w:hint="eastAsia"/>
                <w:color w:val="auto"/>
                <w:sz w:val="21"/>
                <w:szCs w:val="21"/>
                <w:highlight w:val="none"/>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828" w:type="dxa"/>
            <w:vAlign w:val="center"/>
          </w:tcPr>
          <w:p>
            <w:pPr>
              <w:pStyle w:val="48"/>
              <w:spacing w:line="360" w:lineRule="exact"/>
              <w:ind w:right="230"/>
              <w:jc w:val="center"/>
              <w:rPr>
                <w:rFonts w:hint="eastAsia"/>
                <w:color w:val="auto"/>
                <w:sz w:val="21"/>
                <w:szCs w:val="21"/>
                <w:highlight w:val="none"/>
              </w:rPr>
            </w:pPr>
            <w:r>
              <w:rPr>
                <w:rFonts w:hint="eastAsia"/>
                <w:color w:val="auto"/>
                <w:sz w:val="21"/>
                <w:szCs w:val="21"/>
                <w:highlight w:val="none"/>
              </w:rPr>
              <w:t>9</w:t>
            </w:r>
          </w:p>
        </w:tc>
        <w:tc>
          <w:tcPr>
            <w:tcW w:w="2594"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lang w:val="zh-CN"/>
              </w:rPr>
              <w:t>成交通知书领取</w:t>
            </w:r>
          </w:p>
        </w:tc>
        <w:tc>
          <w:tcPr>
            <w:tcW w:w="6084" w:type="dxa"/>
            <w:vAlign w:val="center"/>
          </w:tcPr>
          <w:p>
            <w:pPr>
              <w:pStyle w:val="48"/>
              <w:spacing w:line="360" w:lineRule="exact"/>
              <w:ind w:right="230"/>
              <w:jc w:val="both"/>
              <w:rPr>
                <w:rFonts w:hint="eastAsia"/>
                <w:color w:val="auto"/>
                <w:sz w:val="21"/>
                <w:szCs w:val="21"/>
                <w:highlight w:val="none"/>
              </w:rPr>
            </w:pPr>
            <w:r>
              <w:rPr>
                <w:rFonts w:hint="eastAsia"/>
                <w:color w:val="auto"/>
                <w:sz w:val="21"/>
                <w:szCs w:val="21"/>
                <w:highlight w:val="none"/>
              </w:rPr>
              <w:t xml:space="preserve">地点：成都市锦江区东大街上东大街段246号新良大酒店5楼515室 </w:t>
            </w:r>
          </w:p>
          <w:p>
            <w:pPr>
              <w:pStyle w:val="48"/>
              <w:spacing w:line="360" w:lineRule="exact"/>
              <w:ind w:right="230"/>
              <w:jc w:val="both"/>
              <w:rPr>
                <w:rFonts w:hint="eastAsia"/>
                <w:color w:val="auto"/>
                <w:sz w:val="21"/>
                <w:szCs w:val="21"/>
                <w:highlight w:val="none"/>
              </w:rPr>
            </w:pPr>
            <w:r>
              <w:rPr>
                <w:rFonts w:hint="eastAsia"/>
                <w:color w:val="auto"/>
                <w:sz w:val="21"/>
                <w:szCs w:val="21"/>
                <w:highlight w:val="none"/>
              </w:rPr>
              <w:t>联系方式：连女士 028-86739920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828"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lang w:val="zh-CN"/>
              </w:rPr>
              <w:t>1</w:t>
            </w:r>
            <w:r>
              <w:rPr>
                <w:rFonts w:hint="eastAsia"/>
                <w:color w:val="auto"/>
                <w:sz w:val="21"/>
                <w:szCs w:val="21"/>
                <w:highlight w:val="none"/>
              </w:rPr>
              <w:t>0</w:t>
            </w:r>
          </w:p>
        </w:tc>
        <w:tc>
          <w:tcPr>
            <w:tcW w:w="2594"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lang w:val="zh-CN"/>
              </w:rPr>
              <w:t>供应商</w:t>
            </w:r>
            <w:r>
              <w:rPr>
                <w:rFonts w:hint="eastAsia"/>
                <w:color w:val="auto"/>
                <w:sz w:val="21"/>
                <w:szCs w:val="21"/>
                <w:highlight w:val="none"/>
              </w:rPr>
              <w:t>异议</w:t>
            </w:r>
          </w:p>
        </w:tc>
        <w:tc>
          <w:tcPr>
            <w:tcW w:w="6084" w:type="dxa"/>
            <w:vAlign w:val="center"/>
          </w:tcPr>
          <w:p>
            <w:pPr>
              <w:pStyle w:val="48"/>
              <w:spacing w:line="360" w:lineRule="exact"/>
              <w:ind w:right="230"/>
              <w:rPr>
                <w:rFonts w:hint="eastAsia"/>
                <w:color w:val="auto"/>
                <w:sz w:val="21"/>
                <w:szCs w:val="21"/>
                <w:highlight w:val="none"/>
                <w:lang w:val="zh-CN"/>
              </w:rPr>
            </w:pPr>
            <w:r>
              <w:rPr>
                <w:rFonts w:hint="eastAsia"/>
                <w:color w:val="auto"/>
                <w:sz w:val="21"/>
                <w:szCs w:val="21"/>
                <w:highlight w:val="none"/>
                <w:lang w:val="zh-CN"/>
              </w:rPr>
              <w:t>供应商</w:t>
            </w:r>
            <w:r>
              <w:rPr>
                <w:rFonts w:hint="eastAsia"/>
                <w:color w:val="auto"/>
                <w:sz w:val="21"/>
                <w:szCs w:val="21"/>
                <w:highlight w:val="none"/>
              </w:rPr>
              <w:t>异议</w:t>
            </w:r>
            <w:r>
              <w:rPr>
                <w:rFonts w:hint="eastAsia"/>
                <w:color w:val="auto"/>
                <w:sz w:val="21"/>
                <w:szCs w:val="21"/>
                <w:highlight w:val="none"/>
                <w:lang w:val="zh-CN"/>
              </w:rPr>
              <w:t>由</w:t>
            </w:r>
            <w:r>
              <w:rPr>
                <w:rFonts w:hint="eastAsia"/>
                <w:color w:val="auto"/>
                <w:sz w:val="21"/>
                <w:szCs w:val="21"/>
                <w:highlight w:val="none"/>
              </w:rPr>
              <w:t>采购人</w:t>
            </w:r>
            <w:r>
              <w:rPr>
                <w:rFonts w:hint="eastAsia"/>
                <w:color w:val="auto"/>
                <w:sz w:val="21"/>
                <w:szCs w:val="21"/>
                <w:highlight w:val="none"/>
                <w:lang w:val="zh-CN"/>
              </w:rPr>
              <w:t>负责统一接收、答复。</w:t>
            </w:r>
          </w:p>
          <w:p>
            <w:pPr>
              <w:pStyle w:val="48"/>
              <w:spacing w:line="360" w:lineRule="exact"/>
              <w:ind w:right="230"/>
              <w:rPr>
                <w:rFonts w:hint="eastAsia"/>
                <w:color w:val="auto"/>
                <w:sz w:val="21"/>
                <w:szCs w:val="21"/>
                <w:highlight w:val="none"/>
              </w:rPr>
            </w:pPr>
            <w:r>
              <w:rPr>
                <w:rFonts w:hint="eastAsia"/>
                <w:color w:val="auto"/>
                <w:sz w:val="21"/>
                <w:szCs w:val="21"/>
                <w:highlight w:val="none"/>
                <w:lang w:val="zh-CN"/>
              </w:rPr>
              <w:t>联系方式：</w:t>
            </w:r>
            <w:r>
              <w:rPr>
                <w:rFonts w:hint="eastAsia"/>
                <w:color w:val="auto"/>
                <w:sz w:val="21"/>
                <w:szCs w:val="21"/>
                <w:highlight w:val="none"/>
              </w:rPr>
              <w:t>028-86739672</w:t>
            </w:r>
          </w:p>
          <w:p>
            <w:pPr>
              <w:pStyle w:val="48"/>
              <w:spacing w:line="360" w:lineRule="exact"/>
              <w:ind w:right="230"/>
              <w:jc w:val="both"/>
              <w:rPr>
                <w:rFonts w:hint="eastAsia"/>
                <w:color w:val="auto"/>
                <w:sz w:val="21"/>
                <w:szCs w:val="21"/>
                <w:highlight w:val="none"/>
                <w:lang w:val="zh-CN"/>
              </w:rPr>
            </w:pPr>
            <w:r>
              <w:rPr>
                <w:rFonts w:hint="eastAsia"/>
                <w:color w:val="auto"/>
                <w:sz w:val="21"/>
                <w:szCs w:val="21"/>
                <w:highlight w:val="none"/>
                <w:lang w:val="zh-CN"/>
              </w:rPr>
              <w:t xml:space="preserve">递交地址： </w:t>
            </w:r>
            <w:r>
              <w:rPr>
                <w:rFonts w:hint="eastAsia"/>
                <w:color w:val="auto"/>
                <w:sz w:val="21"/>
                <w:szCs w:val="21"/>
                <w:highlight w:val="none"/>
              </w:rPr>
              <w:t>成都市锦江区东大街上东大街段246号新良大酒店27楼</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828"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lang w:val="zh-CN"/>
              </w:rPr>
              <w:t>1</w:t>
            </w:r>
            <w:r>
              <w:rPr>
                <w:rFonts w:hint="eastAsia"/>
                <w:color w:val="auto"/>
                <w:sz w:val="21"/>
                <w:szCs w:val="21"/>
                <w:highlight w:val="none"/>
              </w:rPr>
              <w:t>1</w:t>
            </w:r>
          </w:p>
        </w:tc>
        <w:tc>
          <w:tcPr>
            <w:tcW w:w="2594"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lang w:val="zh-CN"/>
              </w:rPr>
              <w:t>联合体</w:t>
            </w:r>
          </w:p>
          <w:p>
            <w:pPr>
              <w:pStyle w:val="48"/>
              <w:spacing w:line="360" w:lineRule="exact"/>
              <w:ind w:right="230"/>
              <w:jc w:val="center"/>
              <w:rPr>
                <w:rFonts w:hint="eastAsia"/>
                <w:color w:val="auto"/>
                <w:sz w:val="21"/>
                <w:szCs w:val="21"/>
                <w:highlight w:val="none"/>
                <w:lang w:val="zh-CN"/>
              </w:rPr>
            </w:pPr>
            <w:r>
              <w:rPr>
                <w:rFonts w:hint="eastAsia"/>
                <w:b/>
                <w:color w:val="auto"/>
                <w:sz w:val="21"/>
                <w:szCs w:val="21"/>
                <w:highlight w:val="none"/>
                <w:lang w:val="zh-CN"/>
              </w:rPr>
              <w:t>（实质性要求）</w:t>
            </w:r>
          </w:p>
        </w:tc>
        <w:tc>
          <w:tcPr>
            <w:tcW w:w="6084" w:type="dxa"/>
            <w:vAlign w:val="center"/>
          </w:tcPr>
          <w:p>
            <w:pPr>
              <w:widowControl/>
              <w:spacing w:line="360" w:lineRule="exact"/>
              <w:jc w:val="left"/>
              <w:rPr>
                <w:rFonts w:hint="eastAsia" w:ascii="宋体" w:hAnsi="宋体" w:cs="宋体"/>
                <w:color w:val="auto"/>
                <w:kern w:val="0"/>
                <w:sz w:val="24"/>
                <w:highlight w:val="none"/>
              </w:rPr>
            </w:pPr>
            <w:r>
              <w:rPr>
                <w:rFonts w:hint="eastAsia" w:ascii="宋体" w:hAnsi="宋体" w:cs="宋体"/>
                <w:b/>
                <w:color w:val="auto"/>
                <w:szCs w:val="21"/>
                <w:highlight w:val="none"/>
                <w:lang w:val="zh-CN"/>
              </w:rPr>
              <w:t xml:space="preserve">本项目不接受联合体参加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828" w:type="dxa"/>
            <w:vAlign w:val="center"/>
          </w:tcPr>
          <w:p>
            <w:pPr>
              <w:pStyle w:val="48"/>
              <w:spacing w:line="360" w:lineRule="exact"/>
              <w:ind w:right="230"/>
              <w:jc w:val="center"/>
              <w:rPr>
                <w:rFonts w:hint="eastAsia"/>
                <w:color w:val="auto"/>
                <w:sz w:val="21"/>
                <w:szCs w:val="21"/>
                <w:highlight w:val="none"/>
              </w:rPr>
            </w:pPr>
            <w:r>
              <w:rPr>
                <w:rFonts w:hint="eastAsia"/>
                <w:color w:val="auto"/>
                <w:sz w:val="21"/>
                <w:szCs w:val="21"/>
                <w:highlight w:val="none"/>
              </w:rPr>
              <w:t>12</w:t>
            </w:r>
          </w:p>
        </w:tc>
        <w:tc>
          <w:tcPr>
            <w:tcW w:w="2594" w:type="dxa"/>
            <w:vAlign w:val="center"/>
          </w:tcPr>
          <w:p>
            <w:pPr>
              <w:pStyle w:val="48"/>
              <w:spacing w:line="360" w:lineRule="exact"/>
              <w:ind w:right="230"/>
              <w:jc w:val="center"/>
              <w:rPr>
                <w:rFonts w:hint="eastAsia"/>
                <w:color w:val="auto"/>
                <w:sz w:val="21"/>
                <w:szCs w:val="21"/>
                <w:highlight w:val="none"/>
                <w:lang w:val="zh-CN"/>
              </w:rPr>
            </w:pPr>
            <w:r>
              <w:rPr>
                <w:rFonts w:hint="eastAsia"/>
                <w:color w:val="auto"/>
                <w:sz w:val="21"/>
                <w:szCs w:val="21"/>
                <w:highlight w:val="none"/>
                <w:lang w:val="zh-CN"/>
              </w:rPr>
              <w:t>响应文件有效期</w:t>
            </w:r>
          </w:p>
          <w:p>
            <w:pPr>
              <w:pStyle w:val="48"/>
              <w:spacing w:line="360" w:lineRule="exact"/>
              <w:ind w:right="230"/>
              <w:jc w:val="center"/>
              <w:rPr>
                <w:rFonts w:hint="eastAsia"/>
                <w:b/>
                <w:color w:val="auto"/>
                <w:sz w:val="21"/>
                <w:szCs w:val="21"/>
                <w:highlight w:val="none"/>
              </w:rPr>
            </w:pPr>
            <w:r>
              <w:rPr>
                <w:rFonts w:hint="eastAsia"/>
                <w:b/>
                <w:color w:val="auto"/>
                <w:sz w:val="21"/>
                <w:szCs w:val="21"/>
                <w:highlight w:val="none"/>
                <w:lang w:val="zh-CN"/>
              </w:rPr>
              <w:t>（实质性要求）</w:t>
            </w:r>
          </w:p>
        </w:tc>
        <w:tc>
          <w:tcPr>
            <w:tcW w:w="6084" w:type="dxa"/>
            <w:vAlign w:val="center"/>
          </w:tcPr>
          <w:p>
            <w:pPr>
              <w:widowControl/>
              <w:spacing w:line="360" w:lineRule="exact"/>
              <w:jc w:val="left"/>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本项目响应文件有效期为递交询价响应文件截止之日起90天。供应商响应文件中必须载明响应文件有效期，响应文件中载明的响应文件有效期可以长于询价通知书规定的期限，但不得短于询价通知书规定的期限。否则，其响应文件将作为无效响应处理。</w:t>
            </w:r>
          </w:p>
        </w:tc>
      </w:tr>
    </w:tbl>
    <w:p>
      <w:pPr>
        <w:pStyle w:val="55"/>
        <w:tabs>
          <w:tab w:val="left" w:pos="2241"/>
        </w:tabs>
        <w:spacing w:line="360" w:lineRule="exact"/>
        <w:ind w:firstLine="480"/>
        <w:rPr>
          <w:rFonts w:hint="eastAsia" w:ascii="宋体" w:hAnsi="宋体" w:cs="宋体"/>
          <w:color w:val="auto"/>
          <w:highlight w:val="none"/>
        </w:rPr>
      </w:pPr>
      <w:r>
        <w:rPr>
          <w:rFonts w:hint="eastAsia" w:ascii="宋体" w:hAnsi="宋体" w:eastAsia="宋体" w:cs="宋体"/>
          <w:color w:val="auto"/>
          <w:highlight w:val="none"/>
        </w:rPr>
        <w:tab/>
      </w:r>
    </w:p>
    <w:p>
      <w:pPr>
        <w:pStyle w:val="3"/>
        <w:keepNext w:val="0"/>
        <w:keepLines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二、总  则</w:t>
      </w:r>
    </w:p>
    <w:p>
      <w:pPr>
        <w:pStyle w:val="4"/>
        <w:keepNext w:val="0"/>
        <w:keepLines w:val="0"/>
        <w:spacing w:before="0" w:after="0" w:line="360" w:lineRule="exact"/>
        <w:ind w:firstLine="482" w:firstLineChars="200"/>
        <w:rPr>
          <w:rFonts w:hint="eastAsia" w:ascii="宋体" w:hAnsi="宋体" w:cs="宋体"/>
          <w:color w:val="auto"/>
          <w:sz w:val="24"/>
          <w:highlight w:val="none"/>
        </w:rPr>
      </w:pPr>
      <w:bookmarkStart w:id="19" w:name="PO_默认文件内容_22"/>
      <w:r>
        <w:rPr>
          <w:rFonts w:hint="eastAsia" w:ascii="宋体" w:hAnsi="宋体" w:cs="宋体"/>
          <w:color w:val="auto"/>
          <w:sz w:val="24"/>
          <w:highlight w:val="none"/>
        </w:rPr>
        <w:t>1.</w:t>
      </w:r>
      <w:r>
        <w:rPr>
          <w:rFonts w:hint="eastAsia" w:ascii="宋体" w:hAnsi="宋体" w:cs="宋体"/>
          <w:color w:val="auto"/>
          <w:sz w:val="24"/>
          <w:szCs w:val="24"/>
          <w:highlight w:val="none"/>
        </w:rPr>
        <w:t>适用范围</w:t>
      </w:r>
    </w:p>
    <w:p>
      <w:pPr>
        <w:tabs>
          <w:tab w:val="left" w:pos="7665"/>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1.1本询价通知书仅适用于本次询价采购项目。</w:t>
      </w:r>
    </w:p>
    <w:p>
      <w:pPr>
        <w:tabs>
          <w:tab w:val="left" w:pos="7665"/>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1.2本询价通知书的解释权归采购人所有。</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2.采购主体</w:t>
      </w:r>
    </w:p>
    <w:p>
      <w:pPr>
        <w:tabs>
          <w:tab w:val="left" w:pos="7665"/>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2.1本次询价的采购人是</w:t>
      </w:r>
      <w:bookmarkEnd w:id="19"/>
      <w:r>
        <w:rPr>
          <w:rFonts w:hint="eastAsia" w:ascii="宋体" w:hAnsi="宋体" w:cs="宋体"/>
          <w:color w:val="auto"/>
          <w:sz w:val="24"/>
          <w:highlight w:val="none"/>
          <w:u w:val="single"/>
        </w:rPr>
        <w:t xml:space="preserve"> 四川新良大厦有限责任公司 </w:t>
      </w:r>
      <w:r>
        <w:rPr>
          <w:rFonts w:hint="eastAsia" w:ascii="宋体" w:hAnsi="宋体" w:cs="宋体"/>
          <w:color w:val="auto"/>
          <w:sz w:val="24"/>
          <w:highlight w:val="none"/>
        </w:rPr>
        <w:t xml:space="preserve"> 。</w:t>
      </w:r>
    </w:p>
    <w:p>
      <w:pPr>
        <w:pStyle w:val="4"/>
        <w:keepNext w:val="0"/>
        <w:keepLines w:val="0"/>
        <w:spacing w:before="0" w:after="0" w:line="360" w:lineRule="exact"/>
        <w:ind w:firstLine="482" w:firstLineChars="200"/>
        <w:rPr>
          <w:rFonts w:hint="eastAsia" w:ascii="宋体" w:hAnsi="宋体" w:cs="宋体"/>
          <w:color w:val="auto"/>
          <w:sz w:val="24"/>
          <w:highlight w:val="none"/>
        </w:rPr>
      </w:pPr>
      <w:bookmarkStart w:id="20" w:name="PO_默认文件内容_23"/>
      <w:r>
        <w:rPr>
          <w:rFonts w:hint="eastAsia" w:ascii="宋体" w:hAnsi="宋体" w:cs="宋体"/>
          <w:color w:val="auto"/>
          <w:sz w:val="24"/>
          <w:highlight w:val="none"/>
        </w:rPr>
        <w:t>3.合格供应商</w:t>
      </w:r>
    </w:p>
    <w:p>
      <w:pPr>
        <w:tabs>
          <w:tab w:val="left" w:pos="7665"/>
        </w:tabs>
        <w:spacing w:line="360" w:lineRule="exact"/>
        <w:rPr>
          <w:rFonts w:hint="eastAsia" w:ascii="宋体" w:hAnsi="宋体" w:cs="宋体"/>
          <w:color w:val="auto"/>
          <w:sz w:val="24"/>
          <w:highlight w:val="none"/>
        </w:rPr>
      </w:pPr>
      <w:r>
        <w:rPr>
          <w:rFonts w:hint="eastAsia" w:ascii="宋体" w:hAnsi="宋体" w:cs="宋体"/>
          <w:b/>
          <w:color w:val="auto"/>
          <w:sz w:val="24"/>
          <w:highlight w:val="none"/>
        </w:rPr>
        <w:t xml:space="preserve">    </w:t>
      </w:r>
      <w:r>
        <w:rPr>
          <w:rFonts w:hint="eastAsia" w:ascii="宋体" w:hAnsi="宋体" w:cs="宋体"/>
          <w:color w:val="auto"/>
          <w:sz w:val="24"/>
          <w:highlight w:val="none"/>
        </w:rPr>
        <w:t>合格供应商应具备以下条件：</w:t>
      </w:r>
    </w:p>
    <w:p>
      <w:pPr>
        <w:tabs>
          <w:tab w:val="left" w:pos="7665"/>
        </w:tabs>
        <w:spacing w:line="360" w:lineRule="exact"/>
        <w:ind w:firstLine="480" w:firstLineChars="200"/>
        <w:rPr>
          <w:rFonts w:hint="eastAsia" w:ascii="宋体" w:hAnsi="宋体" w:cs="宋体"/>
          <w:color w:val="auto"/>
          <w:spacing w:val="-4"/>
          <w:sz w:val="24"/>
          <w:highlight w:val="none"/>
        </w:rPr>
      </w:pPr>
      <w:r>
        <w:rPr>
          <w:rFonts w:hint="eastAsia" w:ascii="宋体" w:hAnsi="宋体" w:cs="宋体"/>
          <w:color w:val="auto"/>
          <w:sz w:val="24"/>
          <w:highlight w:val="none"/>
        </w:rPr>
        <w:t>3.1具备法律法规和本询价通知书规定的资格条件</w:t>
      </w:r>
      <w:r>
        <w:rPr>
          <w:rFonts w:hint="eastAsia" w:ascii="宋体" w:hAnsi="宋体" w:cs="宋体"/>
          <w:color w:val="auto"/>
          <w:spacing w:val="-4"/>
          <w:sz w:val="24"/>
          <w:highlight w:val="none"/>
        </w:rPr>
        <w:t>；</w:t>
      </w:r>
    </w:p>
    <w:p>
      <w:pPr>
        <w:tabs>
          <w:tab w:val="left" w:pos="7665"/>
        </w:tabs>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3.2不属于禁止参加本项目采购活动的供应商；</w:t>
      </w:r>
    </w:p>
    <w:p>
      <w:pPr>
        <w:tabs>
          <w:tab w:val="left" w:pos="7665"/>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w:t>
      </w:r>
      <w:r>
        <w:rPr>
          <w:rFonts w:hint="eastAsia" w:ascii="宋体" w:hAnsi="宋体" w:cs="宋体"/>
          <w:color w:val="auto"/>
          <w:spacing w:val="-4"/>
          <w:sz w:val="24"/>
          <w:highlight w:val="none"/>
        </w:rPr>
        <w:t>按照规定获取了询价通知书</w:t>
      </w:r>
      <w:r>
        <w:rPr>
          <w:rFonts w:hint="eastAsia" w:ascii="宋体" w:hAnsi="宋体" w:cs="宋体"/>
          <w:color w:val="auto"/>
          <w:spacing w:val="-4"/>
          <w:sz w:val="24"/>
          <w:highlight w:val="none"/>
          <w:lang w:eastAsia="zh-CN"/>
        </w:rPr>
        <w:t>。</w:t>
      </w:r>
      <w:r>
        <w:rPr>
          <w:rFonts w:hint="eastAsia" w:ascii="宋体" w:hAnsi="宋体" w:cs="宋体"/>
          <w:b/>
          <w:color w:val="auto"/>
          <w:spacing w:val="-4"/>
          <w:sz w:val="24"/>
          <w:highlight w:val="none"/>
        </w:rPr>
        <w:t>（实质性要求）</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4.询价费用（实质性要求）</w:t>
      </w:r>
    </w:p>
    <w:p>
      <w:pPr>
        <w:tabs>
          <w:tab w:val="left" w:pos="7665"/>
        </w:tabs>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无论询价过程中的做法和结果如何，供应商应自行承担参加询价活动的全部费用。</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5.充分、公平竞争保障措施（实质性要求）</w:t>
      </w:r>
    </w:p>
    <w:p>
      <w:pPr>
        <w:pStyle w:val="45"/>
        <w:spacing w:line="360" w:lineRule="exact"/>
        <w:ind w:left="1" w:firstLine="480" w:firstLineChars="200"/>
        <w:rPr>
          <w:rFonts w:hint="eastAsia" w:hAnsi="宋体" w:cs="宋体"/>
          <w:color w:val="auto"/>
          <w:sz w:val="24"/>
          <w:highlight w:val="none"/>
        </w:rPr>
      </w:pPr>
      <w:r>
        <w:rPr>
          <w:rFonts w:hint="eastAsia" w:hAnsi="宋体" w:cs="宋体"/>
          <w:color w:val="auto"/>
          <w:sz w:val="24"/>
          <w:highlight w:val="none"/>
        </w:rPr>
        <w:t>5.1利害关系供应商处理。单位负责人为同一人或者存在直接控股、管理关系的不同供应商不得参加同一合同项下的采购活动。</w:t>
      </w:r>
    </w:p>
    <w:p>
      <w:pPr>
        <w:pStyle w:val="45"/>
        <w:spacing w:line="360" w:lineRule="exact"/>
        <w:ind w:left="1" w:firstLine="480" w:firstLineChars="200"/>
        <w:rPr>
          <w:rFonts w:hint="eastAsia" w:hAnsi="宋体" w:cs="宋体"/>
          <w:color w:val="auto"/>
          <w:sz w:val="24"/>
          <w:highlight w:val="none"/>
        </w:rPr>
      </w:pPr>
      <w:r>
        <w:rPr>
          <w:rFonts w:hint="eastAsia" w:hAnsi="宋体" w:cs="宋体"/>
          <w:color w:val="auto"/>
          <w:sz w:val="24"/>
          <w:highlight w:val="none"/>
        </w:rPr>
        <w:t>5.2参与供应商处理。为采购项目提供设计、项目监理、结算审核及决算审计等服务的供应商，不得再参加新良大厦1-4号电梯更新改造项目的其他服务采购活动。</w:t>
      </w:r>
    </w:p>
    <w:p>
      <w:pPr>
        <w:pStyle w:val="45"/>
        <w:spacing w:line="360" w:lineRule="exact"/>
        <w:ind w:left="1" w:firstLine="480" w:firstLineChars="200"/>
        <w:rPr>
          <w:rFonts w:hint="eastAsia" w:hAnsi="宋体" w:cs="宋体"/>
          <w:color w:val="auto"/>
          <w:sz w:val="24"/>
          <w:highlight w:val="none"/>
        </w:rPr>
      </w:pPr>
      <w:r>
        <w:rPr>
          <w:rFonts w:hint="eastAsia" w:hAnsi="宋体" w:cs="宋体"/>
          <w:color w:val="auto"/>
          <w:sz w:val="24"/>
          <w:highlight w:val="none"/>
        </w:rPr>
        <w:t>5.3回避。采购活动中，采购人员及相关人员与供应商有下列利害关系之一的，应当回避：</w:t>
      </w:r>
    </w:p>
    <w:p>
      <w:pPr>
        <w:pStyle w:val="45"/>
        <w:spacing w:line="360" w:lineRule="exact"/>
        <w:ind w:left="1" w:firstLine="480" w:firstLineChars="200"/>
        <w:rPr>
          <w:rFonts w:hint="eastAsia" w:hAnsi="宋体" w:cs="宋体"/>
          <w:color w:val="auto"/>
          <w:sz w:val="24"/>
          <w:highlight w:val="none"/>
        </w:rPr>
      </w:pPr>
      <w:r>
        <w:rPr>
          <w:rFonts w:hint="eastAsia" w:hAnsi="宋体" w:cs="宋体"/>
          <w:color w:val="auto"/>
          <w:sz w:val="24"/>
          <w:highlight w:val="none"/>
        </w:rPr>
        <w:t>（1）参加</w:t>
      </w:r>
      <w:r>
        <w:rPr>
          <w:rFonts w:hint="eastAsia" w:hAnsi="宋体" w:cs="宋体"/>
          <w:color w:val="auto"/>
          <w:sz w:val="24"/>
          <w:highlight w:val="none"/>
          <w:lang w:val="en-US" w:eastAsia="zh-CN"/>
        </w:rPr>
        <w:t>本次</w:t>
      </w:r>
      <w:r>
        <w:rPr>
          <w:rFonts w:hint="eastAsia" w:hAnsi="宋体" w:cs="宋体"/>
          <w:color w:val="auto"/>
          <w:sz w:val="24"/>
          <w:highlight w:val="none"/>
        </w:rPr>
        <w:t>采购活动前</w:t>
      </w:r>
      <w:r>
        <w:rPr>
          <w:rFonts w:hint="eastAsia" w:hAnsi="宋体" w:cs="宋体"/>
          <w:color w:val="auto"/>
          <w:sz w:val="24"/>
          <w:highlight w:val="none"/>
          <w:lang w:eastAsia="zh-CN"/>
        </w:rPr>
        <w:t>，</w:t>
      </w:r>
      <w:r>
        <w:rPr>
          <w:rFonts w:hint="eastAsia" w:hAnsi="宋体" w:cs="宋体"/>
          <w:color w:val="auto"/>
          <w:sz w:val="24"/>
          <w:highlight w:val="none"/>
          <w:lang w:val="en-US" w:eastAsia="zh-CN"/>
        </w:rPr>
        <w:t>近</w:t>
      </w:r>
      <w:r>
        <w:rPr>
          <w:rFonts w:hint="eastAsia" w:hAnsi="宋体" w:cs="宋体"/>
          <w:color w:val="auto"/>
          <w:sz w:val="24"/>
          <w:highlight w:val="none"/>
        </w:rPr>
        <w:t>3年内与供应商存在劳动关系；</w:t>
      </w:r>
    </w:p>
    <w:p>
      <w:pPr>
        <w:pStyle w:val="45"/>
        <w:spacing w:line="360" w:lineRule="exact"/>
        <w:ind w:left="1" w:firstLine="480" w:firstLineChars="200"/>
        <w:rPr>
          <w:rFonts w:hint="eastAsia" w:hAnsi="宋体" w:cs="宋体"/>
          <w:color w:val="auto"/>
          <w:sz w:val="24"/>
          <w:highlight w:val="none"/>
        </w:rPr>
      </w:pPr>
      <w:r>
        <w:rPr>
          <w:rFonts w:hint="eastAsia" w:hAnsi="宋体" w:cs="宋体"/>
          <w:color w:val="auto"/>
          <w:sz w:val="24"/>
          <w:highlight w:val="none"/>
        </w:rPr>
        <w:t>（2）参加</w:t>
      </w:r>
      <w:r>
        <w:rPr>
          <w:rFonts w:hint="eastAsia" w:hAnsi="宋体" w:cs="宋体"/>
          <w:color w:val="auto"/>
          <w:sz w:val="24"/>
          <w:highlight w:val="none"/>
          <w:lang w:val="en-US" w:eastAsia="zh-CN"/>
        </w:rPr>
        <w:t>本次</w:t>
      </w:r>
      <w:r>
        <w:rPr>
          <w:rFonts w:hint="eastAsia" w:hAnsi="宋体" w:cs="宋体"/>
          <w:color w:val="auto"/>
          <w:sz w:val="24"/>
          <w:highlight w:val="none"/>
        </w:rPr>
        <w:t>采购活动前</w:t>
      </w:r>
      <w:r>
        <w:rPr>
          <w:rFonts w:hint="eastAsia" w:hAnsi="宋体" w:cs="宋体"/>
          <w:color w:val="auto"/>
          <w:sz w:val="24"/>
          <w:highlight w:val="none"/>
          <w:lang w:eastAsia="zh-CN"/>
        </w:rPr>
        <w:t>，</w:t>
      </w:r>
      <w:r>
        <w:rPr>
          <w:rFonts w:hint="eastAsia" w:hAnsi="宋体" w:cs="宋体"/>
          <w:color w:val="auto"/>
          <w:sz w:val="24"/>
          <w:highlight w:val="none"/>
          <w:lang w:val="en-US" w:eastAsia="zh-CN"/>
        </w:rPr>
        <w:t>近</w:t>
      </w:r>
      <w:r>
        <w:rPr>
          <w:rFonts w:hint="eastAsia" w:hAnsi="宋体" w:cs="宋体"/>
          <w:color w:val="auto"/>
          <w:sz w:val="24"/>
          <w:highlight w:val="none"/>
        </w:rPr>
        <w:t>3年内担任供应商的董事、监事；</w:t>
      </w:r>
    </w:p>
    <w:p>
      <w:pPr>
        <w:pStyle w:val="45"/>
        <w:spacing w:line="360" w:lineRule="exact"/>
        <w:ind w:left="1" w:firstLine="480" w:firstLineChars="200"/>
        <w:rPr>
          <w:rFonts w:hint="eastAsia" w:hAnsi="宋体" w:cs="宋体"/>
          <w:color w:val="auto"/>
          <w:sz w:val="24"/>
          <w:highlight w:val="none"/>
        </w:rPr>
      </w:pPr>
      <w:r>
        <w:rPr>
          <w:rFonts w:hint="eastAsia" w:hAnsi="宋体" w:cs="宋体"/>
          <w:color w:val="auto"/>
          <w:sz w:val="24"/>
          <w:highlight w:val="none"/>
        </w:rPr>
        <w:t>（3）参加</w:t>
      </w:r>
      <w:r>
        <w:rPr>
          <w:rFonts w:hint="eastAsia" w:hAnsi="宋体" w:cs="宋体"/>
          <w:color w:val="auto"/>
          <w:sz w:val="24"/>
          <w:highlight w:val="none"/>
          <w:lang w:val="en-US" w:eastAsia="zh-CN"/>
        </w:rPr>
        <w:t>本次</w:t>
      </w:r>
      <w:r>
        <w:rPr>
          <w:rFonts w:hint="eastAsia" w:hAnsi="宋体" w:cs="宋体"/>
          <w:color w:val="auto"/>
          <w:sz w:val="24"/>
          <w:highlight w:val="none"/>
        </w:rPr>
        <w:t>采购活动前</w:t>
      </w:r>
      <w:r>
        <w:rPr>
          <w:rFonts w:hint="eastAsia" w:hAnsi="宋体" w:cs="宋体"/>
          <w:color w:val="auto"/>
          <w:sz w:val="24"/>
          <w:highlight w:val="none"/>
          <w:lang w:eastAsia="zh-CN"/>
        </w:rPr>
        <w:t>，</w:t>
      </w:r>
      <w:r>
        <w:rPr>
          <w:rFonts w:hint="eastAsia" w:hAnsi="宋体" w:cs="宋体"/>
          <w:color w:val="auto"/>
          <w:sz w:val="24"/>
          <w:highlight w:val="none"/>
          <w:lang w:val="en-US" w:eastAsia="zh-CN"/>
        </w:rPr>
        <w:t>近</w:t>
      </w:r>
      <w:r>
        <w:rPr>
          <w:rFonts w:hint="eastAsia" w:hAnsi="宋体" w:cs="宋体"/>
          <w:color w:val="auto"/>
          <w:sz w:val="24"/>
          <w:highlight w:val="none"/>
        </w:rPr>
        <w:t>3年内是供应商的控股股东或者实际控制人；</w:t>
      </w:r>
    </w:p>
    <w:p>
      <w:pPr>
        <w:pStyle w:val="45"/>
        <w:spacing w:line="360" w:lineRule="exact"/>
        <w:ind w:left="1" w:firstLine="480" w:firstLineChars="200"/>
        <w:rPr>
          <w:rFonts w:hint="eastAsia" w:hAnsi="宋体" w:cs="宋体"/>
          <w:color w:val="auto"/>
          <w:sz w:val="24"/>
          <w:highlight w:val="none"/>
        </w:rPr>
      </w:pPr>
      <w:r>
        <w:rPr>
          <w:rFonts w:hint="eastAsia" w:hAnsi="宋体" w:cs="宋体"/>
          <w:color w:val="auto"/>
          <w:sz w:val="24"/>
          <w:highlight w:val="none"/>
        </w:rPr>
        <w:t>（4）与供应商的法定代表人或者负责人有夫妻、直系血亲、三代以内旁系血亲或者近姻亲关系；</w:t>
      </w:r>
    </w:p>
    <w:p>
      <w:pPr>
        <w:pStyle w:val="45"/>
        <w:spacing w:line="360" w:lineRule="exact"/>
        <w:ind w:left="1" w:firstLine="480" w:firstLineChars="200"/>
        <w:rPr>
          <w:rFonts w:hint="eastAsia" w:hAnsi="宋体" w:cs="宋体"/>
          <w:color w:val="auto"/>
          <w:sz w:val="24"/>
          <w:highlight w:val="none"/>
        </w:rPr>
      </w:pPr>
      <w:r>
        <w:rPr>
          <w:rFonts w:hint="eastAsia" w:hAnsi="宋体" w:cs="宋体"/>
          <w:color w:val="auto"/>
          <w:sz w:val="24"/>
          <w:highlight w:val="none"/>
        </w:rPr>
        <w:t>（5）与供应商有其他可能影响采购活动公平、公正进行的关系。</w:t>
      </w:r>
    </w:p>
    <w:p>
      <w:pPr>
        <w:pStyle w:val="45"/>
        <w:spacing w:line="360" w:lineRule="exact"/>
        <w:ind w:left="1" w:firstLine="480" w:firstLineChars="200"/>
        <w:rPr>
          <w:rFonts w:hint="eastAsia" w:hAnsi="宋体" w:cs="宋体"/>
          <w:color w:val="auto"/>
          <w:sz w:val="24"/>
          <w:highlight w:val="none"/>
        </w:rPr>
      </w:pPr>
      <w:r>
        <w:rPr>
          <w:rFonts w:hint="eastAsia" w:hAnsi="宋体" w:cs="宋体"/>
          <w:color w:val="auto"/>
          <w:sz w:val="24"/>
          <w:highlight w:val="none"/>
        </w:rPr>
        <w:t>供应商认为采购人员及相关人员与其他供应商有利害关系的，可以向</w:t>
      </w:r>
      <w:r>
        <w:rPr>
          <w:rStyle w:val="32"/>
          <w:rFonts w:hint="eastAsia" w:asciiTheme="minorHAnsi" w:hAnsiTheme="minorHAnsi" w:eastAsiaTheme="minorEastAsia" w:cstheme="minorBidi"/>
          <w:color w:val="auto"/>
          <w:kern w:val="2"/>
          <w:highlight w:val="none"/>
        </w:rPr>
        <w:t>采购人</w:t>
      </w:r>
      <w:r>
        <w:rPr>
          <w:rFonts w:hint="eastAsia" w:hAnsi="宋体" w:cs="宋体"/>
          <w:color w:val="auto"/>
          <w:sz w:val="24"/>
          <w:highlight w:val="none"/>
        </w:rPr>
        <w:t>书面提出回避申请，并说明理由。</w:t>
      </w:r>
      <w:r>
        <w:rPr>
          <w:rStyle w:val="32"/>
          <w:rFonts w:hint="eastAsia" w:asciiTheme="minorHAnsi" w:hAnsiTheme="minorHAnsi" w:eastAsiaTheme="minorEastAsia" w:cstheme="minorBidi"/>
          <w:color w:val="auto"/>
          <w:kern w:val="2"/>
          <w:highlight w:val="none"/>
        </w:rPr>
        <w:t>采购人</w:t>
      </w:r>
      <w:r>
        <w:rPr>
          <w:rFonts w:hint="eastAsia" w:hAnsi="宋体" w:cs="宋体"/>
          <w:color w:val="auto"/>
          <w:sz w:val="24"/>
          <w:highlight w:val="none"/>
        </w:rPr>
        <w:t>将及时询问被申请回避人员，有利害关系的被申请回避人员应当回避。</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6.联合体询价</w:t>
      </w:r>
    </w:p>
    <w:p>
      <w:pPr>
        <w:pStyle w:val="45"/>
        <w:spacing w:line="360" w:lineRule="exact"/>
        <w:ind w:left="1" w:firstLine="480" w:firstLineChars="200"/>
        <w:rPr>
          <w:rFonts w:hint="eastAsia" w:hAnsi="宋体" w:cs="宋体"/>
          <w:color w:val="auto"/>
          <w:sz w:val="24"/>
          <w:highlight w:val="none"/>
        </w:rPr>
      </w:pPr>
      <w:r>
        <w:rPr>
          <w:rFonts w:hint="eastAsia" w:hAnsi="宋体" w:cs="宋体"/>
          <w:color w:val="auto"/>
          <w:sz w:val="24"/>
          <w:highlight w:val="none"/>
        </w:rPr>
        <w:t>本项目不</w:t>
      </w:r>
      <w:r>
        <w:rPr>
          <w:rFonts w:hint="eastAsia" w:hAnsi="宋体" w:cs="宋体"/>
          <w:color w:val="auto"/>
          <w:sz w:val="24"/>
          <w:highlight w:val="none"/>
          <w:lang w:eastAsia="zh-CN"/>
        </w:rPr>
        <w:t>接受</w:t>
      </w:r>
      <w:r>
        <w:rPr>
          <w:rFonts w:hint="eastAsia" w:hAnsi="宋体" w:cs="宋体"/>
          <w:color w:val="auto"/>
          <w:sz w:val="24"/>
          <w:highlight w:val="none"/>
        </w:rPr>
        <w:t>联合体参与。</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7.询价保证金</w:t>
      </w:r>
      <w:r>
        <w:rPr>
          <w:rFonts w:hint="eastAsia" w:ascii="宋体" w:hAnsi="宋体" w:cs="宋体"/>
          <w:color w:val="auto"/>
          <w:sz w:val="24"/>
          <w:highlight w:val="none"/>
          <w:lang w:eastAsia="zh-CN"/>
        </w:rPr>
        <w:t>：</w:t>
      </w:r>
      <w:r>
        <w:rPr>
          <w:rFonts w:hint="eastAsia" w:ascii="宋体" w:hAnsi="宋体" w:cs="宋体"/>
          <w:b w:val="0"/>
          <w:bCs w:val="0"/>
          <w:color w:val="auto"/>
          <w:sz w:val="24"/>
          <w:szCs w:val="20"/>
          <w:highlight w:val="none"/>
        </w:rPr>
        <w:t>本项目不收取</w:t>
      </w:r>
      <w:r>
        <w:rPr>
          <w:rFonts w:hint="eastAsia" w:ascii="宋体" w:hAnsi="宋体" w:cs="宋体"/>
          <w:b w:val="0"/>
          <w:bCs w:val="0"/>
          <w:color w:val="auto"/>
          <w:sz w:val="24"/>
          <w:szCs w:val="20"/>
          <w:highlight w:val="none"/>
          <w:lang w:eastAsia="zh-CN"/>
        </w:rPr>
        <w:t>。</w:t>
      </w:r>
    </w:p>
    <w:p>
      <w:pPr>
        <w:spacing w:line="360" w:lineRule="exact"/>
        <w:ind w:firstLine="472" w:firstLineChars="196"/>
        <w:outlineLvl w:val="2"/>
        <w:rPr>
          <w:rFonts w:hint="eastAsia" w:ascii="宋体" w:hAnsi="宋体" w:cs="宋体"/>
          <w:b/>
          <w:color w:val="auto"/>
          <w:sz w:val="24"/>
          <w:highlight w:val="none"/>
        </w:rPr>
      </w:pPr>
      <w:r>
        <w:rPr>
          <w:rFonts w:hint="eastAsia" w:ascii="宋体" w:hAnsi="宋体" w:cs="宋体"/>
          <w:b/>
          <w:color w:val="auto"/>
          <w:sz w:val="24"/>
          <w:highlight w:val="none"/>
        </w:rPr>
        <w:t>8.响应文件有效期（实质性要求）</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本项目响应文件有效期为递交询价响应文件截止之日起90天。供应商响应文件中必须载明响应文件有效期，响应文件中载明的响应文件有效期可以长于询价通知书规定的期限，但不得短于询价通知书规定的期限。否则，其响应文件将作为无效响应处理。</w:t>
      </w:r>
    </w:p>
    <w:p>
      <w:pPr>
        <w:pStyle w:val="12"/>
        <w:spacing w:line="360" w:lineRule="exact"/>
        <w:ind w:firstLine="482" w:firstLineChars="200"/>
        <w:outlineLvl w:val="2"/>
        <w:rPr>
          <w:rFonts w:hint="eastAsia" w:ascii="宋体" w:hAnsi="宋体" w:cs="宋体"/>
          <w:b/>
          <w:bCs/>
          <w:color w:val="auto"/>
          <w:sz w:val="24"/>
          <w:szCs w:val="24"/>
          <w:highlight w:val="none"/>
        </w:rPr>
      </w:pPr>
      <w:r>
        <w:rPr>
          <w:rFonts w:hint="eastAsia" w:ascii="宋体" w:hAnsi="宋体" w:cs="宋体"/>
          <w:b/>
          <w:color w:val="auto"/>
          <w:sz w:val="24"/>
          <w:highlight w:val="none"/>
        </w:rPr>
        <w:t>9.</w:t>
      </w:r>
      <w:r>
        <w:rPr>
          <w:rFonts w:hint="eastAsia" w:ascii="宋体" w:hAnsi="宋体" w:cs="宋体"/>
          <w:b/>
          <w:bCs/>
          <w:color w:val="auto"/>
          <w:sz w:val="24"/>
          <w:szCs w:val="24"/>
          <w:highlight w:val="none"/>
        </w:rPr>
        <w:t>知识产权（实质性要求）</w:t>
      </w:r>
    </w:p>
    <w:p>
      <w:pPr>
        <w:pStyle w:val="12"/>
        <w:spacing w:line="3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9.1采购人在中华人民共和国境内使用供应商提供的服务时免受第三方提出的侵犯其专利权或</w:t>
      </w:r>
      <w:r>
        <w:rPr>
          <w:rFonts w:hint="eastAsia" w:ascii="宋体" w:hAnsi="宋体" w:cs="宋体"/>
          <w:color w:val="auto"/>
          <w:sz w:val="24"/>
          <w:szCs w:val="24"/>
          <w:highlight w:val="none"/>
          <w:lang w:eastAsia="zh-CN"/>
        </w:rPr>
        <w:t>其他</w:t>
      </w:r>
      <w:r>
        <w:rPr>
          <w:rFonts w:hint="eastAsia" w:ascii="宋体" w:hAnsi="宋体" w:cs="宋体"/>
          <w:color w:val="auto"/>
          <w:sz w:val="24"/>
          <w:szCs w:val="24"/>
          <w:highlight w:val="none"/>
        </w:rPr>
        <w:t>知识产权的起诉。如果第三方提出侵权指控，成交供应商应承担由此而引起的一切法律责任和费用。</w:t>
      </w:r>
    </w:p>
    <w:p>
      <w:pPr>
        <w:pStyle w:val="12"/>
        <w:spacing w:line="3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9.2除非询价通知书特别规定，采购人享有本项目实施过程中产生的知识成果及知识产权。</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9.3供应商如欲在项目实施过程中采用自有知识成果，使用该知识成果后，供应商需提供开发接口和开发手册等技术文档，并承诺提供无限期技术支持，采购人享有永久使用权（含采购人委托第三方在该项目后续开发的使用权）。</w:t>
      </w:r>
    </w:p>
    <w:p>
      <w:pPr>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rPr>
        <w:t xml:space="preserve">9.4如采用供应商所不拥有的知识产权，则在报价中必须包括合法获取该知识产权的相关费用。 </w:t>
      </w:r>
    </w:p>
    <w:p>
      <w:pPr>
        <w:pStyle w:val="3"/>
        <w:keepNext w:val="0"/>
        <w:keepLines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三、询价通知书</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10.询价通知书的构成（实质性要求）</w:t>
      </w:r>
    </w:p>
    <w:p>
      <w:pPr>
        <w:tabs>
          <w:tab w:val="left" w:pos="720"/>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w:t>
      </w:r>
      <w:r>
        <w:rPr>
          <w:rFonts w:hint="eastAsia" w:ascii="宋体" w:hAnsi="宋体" w:cs="宋体"/>
          <w:b/>
          <w:bCs/>
          <w:color w:val="auto"/>
          <w:sz w:val="24"/>
          <w:highlight w:val="none"/>
        </w:rPr>
        <w:t>.</w:t>
      </w:r>
      <w:r>
        <w:rPr>
          <w:rFonts w:hint="eastAsia" w:ascii="宋体" w:hAnsi="宋体" w:cs="宋体"/>
          <w:color w:val="auto"/>
          <w:sz w:val="24"/>
          <w:highlight w:val="none"/>
        </w:rPr>
        <w:t>1询价通知书是供应商准备响应文件和参加询价的依据，同时也是询价的重要依据。询价通知书用以阐明询价项目所需的资质、技术、服务及报价等要求、询价程序、有关规定和注意事项以及合同主要条款等。</w:t>
      </w:r>
    </w:p>
    <w:p>
      <w:pPr>
        <w:tabs>
          <w:tab w:val="left" w:pos="7665"/>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w:t>
      </w:r>
      <w:r>
        <w:rPr>
          <w:rFonts w:hint="eastAsia" w:ascii="宋体" w:hAnsi="宋体" w:cs="宋体"/>
          <w:b/>
          <w:bCs/>
          <w:color w:val="auto"/>
          <w:sz w:val="24"/>
          <w:highlight w:val="none"/>
        </w:rPr>
        <w:t>.</w:t>
      </w:r>
      <w:r>
        <w:rPr>
          <w:rFonts w:hint="eastAsia" w:ascii="宋体" w:hAnsi="宋体" w:cs="宋体"/>
          <w:color w:val="auto"/>
          <w:sz w:val="24"/>
          <w:highlight w:val="none"/>
        </w:rPr>
        <w:t>2供应商应认真阅读和充分理解询价通知书中所有的事项、格式条款和规范要求。供应商应详细阅读询价通知书的全部内容</w:t>
      </w:r>
      <w:r>
        <w:rPr>
          <w:rFonts w:hint="eastAsia" w:ascii="宋体" w:hAnsi="宋体" w:cs="宋体"/>
          <w:color w:val="auto"/>
          <w:sz w:val="24"/>
          <w:highlight w:val="none"/>
          <w:lang w:eastAsia="zh-CN"/>
        </w:rPr>
        <w:t>，并</w:t>
      </w:r>
      <w:r>
        <w:rPr>
          <w:rFonts w:hint="eastAsia" w:ascii="宋体" w:hAnsi="宋体" w:cs="宋体"/>
          <w:color w:val="auto"/>
          <w:sz w:val="24"/>
          <w:highlight w:val="none"/>
        </w:rPr>
        <w:t>按照询价通知书的要求提供响应文件，并保证所提供的全部资料的真实性和有效性，一经发现有虚假行为的，将取消其参加询价或成交资格，并承担相应的法律责任。</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11.询价通知书的澄清和修改</w:t>
      </w:r>
    </w:p>
    <w:p>
      <w:pPr>
        <w:tabs>
          <w:tab w:val="left" w:pos="720"/>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11.1在递交响应文件截止时间前，采购人可以对询价通知书进行澄清或者修改。</w:t>
      </w:r>
    </w:p>
    <w:p>
      <w:pPr>
        <w:tabs>
          <w:tab w:val="left" w:pos="720"/>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11.2采购人对已发出的询价通知书进行澄清或者修改，</w:t>
      </w:r>
      <w:r>
        <w:rPr>
          <w:rFonts w:hint="eastAsia" w:ascii="宋体" w:hAnsi="宋体" w:cs="宋体"/>
          <w:color w:val="auto"/>
          <w:sz w:val="24"/>
          <w:highlight w:val="none"/>
          <w:lang w:val="en-US" w:eastAsia="zh-CN"/>
        </w:rPr>
        <w:t>应</w:t>
      </w:r>
      <w:r>
        <w:rPr>
          <w:rFonts w:hint="eastAsia" w:ascii="宋体" w:hAnsi="宋体" w:cs="宋体"/>
          <w:color w:val="auto"/>
          <w:sz w:val="24"/>
          <w:highlight w:val="none"/>
        </w:rPr>
        <w:t>在</w:t>
      </w:r>
      <w:r>
        <w:rPr>
          <w:rFonts w:hint="eastAsia" w:ascii="宋体" w:hAnsi="宋体" w:cs="宋体"/>
          <w:color w:val="auto"/>
          <w:spacing w:val="-4"/>
          <w:sz w:val="24"/>
          <w:highlight w:val="none"/>
        </w:rPr>
        <w:t>新良大酒店官网、四川新良大厦有限责任公司5楼及1楼公示栏</w:t>
      </w:r>
      <w:r>
        <w:rPr>
          <w:rFonts w:hint="eastAsia" w:ascii="宋体" w:hAnsi="宋体" w:cs="宋体"/>
          <w:color w:val="auto"/>
          <w:sz w:val="24"/>
          <w:highlight w:val="none"/>
        </w:rPr>
        <w:t>上发布更正公告。该澄清或者修改的内容为询价通知书的组成部分，澄清或者修改的内容可能影响响应文件编制的，采购人发布公告</w:t>
      </w:r>
      <w:r>
        <w:rPr>
          <w:rFonts w:hint="eastAsia" w:ascii="宋体" w:hAnsi="宋体" w:cs="宋体"/>
          <w:color w:val="auto"/>
          <w:sz w:val="24"/>
          <w:highlight w:val="none"/>
          <w:lang w:eastAsia="zh-CN"/>
        </w:rPr>
        <w:t>的</w:t>
      </w:r>
      <w:r>
        <w:rPr>
          <w:rFonts w:hint="eastAsia" w:ascii="宋体" w:hAnsi="宋体" w:cs="宋体"/>
          <w:color w:val="auto"/>
          <w:sz w:val="24"/>
          <w:highlight w:val="none"/>
        </w:rPr>
        <w:t>时间，应当在提交首次响应文件截止之日起3个工作日前；不足上述时间的，应当顺延递交响应文件的截止时间。</w:t>
      </w:r>
    </w:p>
    <w:p>
      <w:pPr>
        <w:tabs>
          <w:tab w:val="left" w:pos="7665"/>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11.3供应商应于递交响应文件截止前，保证其对询价通知书做出正确的响应。供应商未按要求下载相关文件，或由于未及时关注更正公告的信息造成的后果，其责任由供应商自行负责。</w:t>
      </w:r>
    </w:p>
    <w:p>
      <w:pPr>
        <w:tabs>
          <w:tab w:val="left" w:pos="720"/>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11.4供应商认为需要对询价通知书进行澄清或者修改的，可以以书面形式向采购人提出申请，由采购人决定是否采纳供应商的申请事项。</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12.答疑会和现场考察</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12.1根据采购项目和具体情况，采购人认为有必要，可以在询价通知书提供期限截止后响应文件提交截止前，组织已获取询价通知书的潜在供应商现场考察或者召开答疑会。</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12.2采购人组织现场考察或者召开答疑会的，将以书面形式通知所有获取询价通知书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12.3供应商自行承担参加答疑会和现场考察的一切费用。</w:t>
      </w:r>
    </w:p>
    <w:p>
      <w:pPr>
        <w:pStyle w:val="3"/>
        <w:keepNext w:val="0"/>
        <w:keepLines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四、响应文件</w:t>
      </w:r>
    </w:p>
    <w:p>
      <w:pPr>
        <w:pStyle w:val="4"/>
        <w:keepNext w:val="0"/>
        <w:keepLines w:val="0"/>
        <w:spacing w:before="0" w:after="0" w:line="360" w:lineRule="exact"/>
        <w:ind w:firstLine="482" w:firstLineChars="200"/>
        <w:rPr>
          <w:rFonts w:hint="eastAsia" w:ascii="宋体" w:hAnsi="宋体" w:cs="宋体"/>
          <w:bCs w:val="0"/>
          <w:color w:val="auto"/>
          <w:sz w:val="24"/>
          <w:highlight w:val="none"/>
        </w:rPr>
      </w:pPr>
      <w:r>
        <w:rPr>
          <w:rFonts w:hint="eastAsia" w:ascii="宋体" w:hAnsi="宋体" w:cs="宋体"/>
          <w:bCs w:val="0"/>
          <w:color w:val="auto"/>
          <w:sz w:val="24"/>
          <w:highlight w:val="none"/>
        </w:rPr>
        <w:t>13.响应文件的组成</w:t>
      </w:r>
    </w:p>
    <w:p>
      <w:pPr>
        <w:spacing w:line="360" w:lineRule="exact"/>
        <w:ind w:firstLine="464" w:firstLineChars="200"/>
        <w:rPr>
          <w:rFonts w:hint="eastAsia" w:ascii="宋体" w:hAnsi="宋体" w:cs="宋体"/>
          <w:bCs/>
          <w:color w:val="auto"/>
          <w:spacing w:val="-4"/>
          <w:sz w:val="24"/>
          <w:highlight w:val="none"/>
        </w:rPr>
      </w:pPr>
      <w:r>
        <w:rPr>
          <w:rFonts w:hint="eastAsia" w:ascii="宋体" w:hAnsi="宋体" w:cs="宋体"/>
          <w:bCs/>
          <w:color w:val="auto"/>
          <w:spacing w:val="-4"/>
          <w:sz w:val="24"/>
          <w:highlight w:val="none"/>
        </w:rPr>
        <w:t>供应商编写的响应文件应包括资格性响应文件和其他响应文件两部分，装订成册。</w:t>
      </w:r>
    </w:p>
    <w:p>
      <w:pPr>
        <w:pStyle w:val="4"/>
        <w:keepNext w:val="0"/>
        <w:keepLines w:val="0"/>
        <w:spacing w:before="0" w:after="0" w:line="360" w:lineRule="exact"/>
        <w:ind w:firstLine="482" w:firstLineChars="200"/>
        <w:rPr>
          <w:rFonts w:hint="eastAsia" w:ascii="宋体" w:hAnsi="宋体" w:cs="宋体"/>
          <w:bCs w:val="0"/>
          <w:color w:val="auto"/>
          <w:sz w:val="24"/>
          <w:highlight w:val="none"/>
        </w:rPr>
      </w:pPr>
      <w:r>
        <w:rPr>
          <w:rFonts w:hint="eastAsia" w:ascii="宋体" w:hAnsi="宋体" w:cs="宋体"/>
          <w:bCs w:val="0"/>
          <w:color w:val="auto"/>
          <w:sz w:val="24"/>
          <w:highlight w:val="none"/>
        </w:rPr>
        <w:t>14.响应文件的语言</w:t>
      </w:r>
    </w:p>
    <w:p>
      <w:pPr>
        <w:tabs>
          <w:tab w:val="left" w:pos="1134"/>
        </w:tabs>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14.1供应商提交的响应文件以及供应商与采购组织单位就有关询价采购的所有来往书面文件均须使用中文。响应文件中如附有外文资料，主要部分对应翻译成中文并加盖供应商公章后附在相关外文资料后面。</w:t>
      </w:r>
    </w:p>
    <w:p>
      <w:pPr>
        <w:tabs>
          <w:tab w:val="left" w:pos="1134"/>
        </w:tabs>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14.2翻译的中文资料与外文资料如果出现差异和矛盾时，以中文为准。涉嫌虚假响应的按照相关法律法规处理。</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14.3未翻译的外文资料，询价小组可将其视为无效材料。</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15.计量单位（实质性要求）</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除询价通知书中另有规定外，本次采购项目所有合同项下的报价均采用国家法定的计量单位。</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16.报价</w:t>
      </w:r>
    </w:p>
    <w:p>
      <w:pPr>
        <w:spacing w:line="360" w:lineRule="exact"/>
        <w:ind w:firstLine="468" w:firstLineChars="195"/>
        <w:rPr>
          <w:rFonts w:hint="eastAsia" w:ascii="宋体" w:hAnsi="宋体" w:cs="宋体"/>
          <w:bCs/>
          <w:color w:val="auto"/>
          <w:sz w:val="24"/>
          <w:highlight w:val="none"/>
        </w:rPr>
      </w:pPr>
      <w:r>
        <w:rPr>
          <w:rFonts w:hint="eastAsia" w:ascii="宋体" w:hAnsi="宋体" w:cs="宋体"/>
          <w:bCs/>
          <w:color w:val="auto"/>
          <w:sz w:val="24"/>
          <w:highlight w:val="none"/>
        </w:rPr>
        <w:t>16.1本次询价项目的</w:t>
      </w:r>
      <w:r>
        <w:rPr>
          <w:rFonts w:hint="eastAsia" w:ascii="宋体" w:hAnsi="宋体" w:cs="宋体"/>
          <w:color w:val="auto"/>
          <w:sz w:val="24"/>
          <w:highlight w:val="none"/>
        </w:rPr>
        <w:t>报价货币为</w:t>
      </w:r>
      <w:r>
        <w:rPr>
          <w:rFonts w:hint="eastAsia" w:ascii="宋体" w:hAnsi="宋体" w:cs="宋体"/>
          <w:bCs/>
          <w:color w:val="auto"/>
          <w:sz w:val="24"/>
          <w:highlight w:val="none"/>
        </w:rPr>
        <w:t>人民币（含税），报价以询价通知书约定为准。</w:t>
      </w:r>
      <w:r>
        <w:rPr>
          <w:rFonts w:hint="eastAsia" w:ascii="宋体" w:hAnsi="宋体" w:cs="宋体"/>
          <w:b/>
          <w:bCs/>
          <w:color w:val="auto"/>
          <w:sz w:val="24"/>
          <w:highlight w:val="none"/>
        </w:rPr>
        <w:t>（实质性要求）</w:t>
      </w:r>
    </w:p>
    <w:p>
      <w:pPr>
        <w:spacing w:line="360" w:lineRule="exact"/>
        <w:ind w:firstLine="468" w:firstLineChars="195"/>
        <w:rPr>
          <w:rFonts w:hint="eastAsia" w:ascii="宋体" w:hAnsi="宋体" w:cs="宋体"/>
          <w:bCs/>
          <w:color w:val="auto"/>
          <w:sz w:val="24"/>
          <w:highlight w:val="none"/>
        </w:rPr>
      </w:pPr>
      <w:r>
        <w:rPr>
          <w:rFonts w:hint="eastAsia" w:ascii="宋体" w:hAnsi="宋体" w:cs="宋体"/>
          <w:color w:val="auto"/>
          <w:sz w:val="24"/>
          <w:highlight w:val="none"/>
        </w:rPr>
        <w:t>16.2本项目采用一次性书面形式报价（含税），报价要求及报价格式参考第五章。</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17.响应文件格式</w:t>
      </w:r>
    </w:p>
    <w:p>
      <w:pPr>
        <w:spacing w:line="360" w:lineRule="exact"/>
        <w:ind w:left="2" w:leftChars="1" w:firstLine="480" w:firstLineChars="200"/>
        <w:rPr>
          <w:rFonts w:hint="eastAsia" w:ascii="宋体" w:hAnsi="宋体" w:cs="宋体"/>
          <w:color w:val="auto"/>
          <w:sz w:val="24"/>
          <w:highlight w:val="none"/>
        </w:rPr>
      </w:pPr>
      <w:r>
        <w:rPr>
          <w:rFonts w:hint="eastAsia" w:ascii="宋体" w:hAnsi="宋体" w:cs="宋体"/>
          <w:color w:val="auto"/>
          <w:sz w:val="24"/>
          <w:highlight w:val="none"/>
        </w:rPr>
        <w:t>17.1供应商应执行询价通知书第五章的规定要求。</w:t>
      </w:r>
    </w:p>
    <w:p>
      <w:pPr>
        <w:spacing w:line="360" w:lineRule="exact"/>
        <w:ind w:left="2" w:leftChars="1" w:firstLine="480" w:firstLineChars="200"/>
        <w:rPr>
          <w:rFonts w:hint="eastAsia" w:ascii="宋体" w:hAnsi="宋体" w:cs="宋体"/>
          <w:color w:val="auto"/>
          <w:sz w:val="24"/>
          <w:highlight w:val="none"/>
        </w:rPr>
      </w:pPr>
      <w:r>
        <w:rPr>
          <w:rFonts w:hint="eastAsia" w:ascii="宋体" w:hAnsi="宋体" w:cs="宋体"/>
          <w:color w:val="auto"/>
          <w:sz w:val="24"/>
          <w:highlight w:val="none"/>
        </w:rPr>
        <w:t>17.2对于没有格式要求的询价</w:t>
      </w:r>
      <w:r>
        <w:rPr>
          <w:rFonts w:hint="eastAsia" w:ascii="宋体" w:hAnsi="宋体" w:cs="宋体"/>
          <w:bCs/>
          <w:color w:val="auto"/>
          <w:sz w:val="24"/>
          <w:highlight w:val="none"/>
        </w:rPr>
        <w:t>通知书</w:t>
      </w:r>
      <w:r>
        <w:rPr>
          <w:rFonts w:hint="eastAsia" w:ascii="宋体" w:hAnsi="宋体" w:cs="宋体"/>
          <w:color w:val="auto"/>
          <w:sz w:val="24"/>
          <w:highlight w:val="none"/>
        </w:rPr>
        <w:t>由供应商自行编写。</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18.响应文件的编制和签署</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18.1参加询价的供应商应按照询价通知书的要求，准备响应文件正本、副本和相应的电子文档。响应文件一式</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份（其中正本1份、副本</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份，封面上标注“正本</w:t>
      </w:r>
      <w:r>
        <w:rPr>
          <w:rFonts w:hint="eastAsia" w:ascii="宋体" w:hAnsi="宋体" w:cs="宋体"/>
          <w:color w:val="auto"/>
          <w:sz w:val="24"/>
          <w:highlight w:val="none"/>
          <w:lang w:eastAsia="zh-CN"/>
        </w:rPr>
        <w:t>”“</w:t>
      </w:r>
      <w:r>
        <w:rPr>
          <w:rFonts w:hint="eastAsia" w:ascii="宋体" w:hAnsi="宋体" w:cs="宋体"/>
          <w:color w:val="auto"/>
          <w:sz w:val="24"/>
          <w:highlight w:val="none"/>
        </w:rPr>
        <w:t>副本”字样）。所有响应文件须注明项目名称、采购项目编号、供应商名称。</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18.2响应文件需打印或用不褪色、不变质的墨水书写，并由供应商的法定代表人/单位负责人或其授权代表在规定签章处签字或盖章。副本可采用正本的复印件</w:t>
      </w:r>
      <w:r>
        <w:rPr>
          <w:rFonts w:hint="eastAsia" w:ascii="宋体" w:hAnsi="宋体" w:cs="宋体"/>
          <w:bCs/>
          <w:color w:val="auto"/>
          <w:sz w:val="24"/>
          <w:highlight w:val="none"/>
        </w:rPr>
        <w:t>，提供电子文档1份U盘制作。</w:t>
      </w:r>
    </w:p>
    <w:p>
      <w:pPr>
        <w:tabs>
          <w:tab w:val="left" w:pos="1095"/>
        </w:tabs>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rPr>
        <w:t>18.3响应文件的打印和书写应清楚工整，任何行间插字、涂改或增删，必须由供应商的法定代表人/单位负责人或其授权代表签字并盖供应商公章。</w:t>
      </w:r>
    </w:p>
    <w:p>
      <w:pPr>
        <w:tabs>
          <w:tab w:val="left" w:pos="1080"/>
        </w:tabs>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rPr>
        <w:t>18.4</w:t>
      </w:r>
      <w:r>
        <w:rPr>
          <w:rFonts w:hint="eastAsia" w:ascii="宋体" w:hAnsi="宋体" w:cs="宋体"/>
          <w:b/>
          <w:color w:val="auto"/>
          <w:sz w:val="24"/>
          <w:highlight w:val="none"/>
        </w:rPr>
        <w:t>（实质性要求）</w:t>
      </w:r>
      <w:r>
        <w:rPr>
          <w:rFonts w:hint="eastAsia" w:ascii="宋体" w:hAnsi="宋体" w:cs="宋体"/>
          <w:color w:val="auto"/>
          <w:sz w:val="24"/>
          <w:highlight w:val="none"/>
        </w:rPr>
        <w:t>响应文件应由供应商法定代表人或其授权代表在询价文件要求的地方签字，要求加盖公章的地方加盖单位公章，不得使用专用章（如经济合同章、投标专用章等）或下属单位印章代替。</w:t>
      </w:r>
    </w:p>
    <w:p>
      <w:pPr>
        <w:tabs>
          <w:tab w:val="left" w:pos="1080"/>
        </w:tabs>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rPr>
        <w:t>18.5响应文件正本和副本需要逐页编目编码。</w:t>
      </w:r>
    </w:p>
    <w:p>
      <w:pPr>
        <w:tabs>
          <w:tab w:val="left" w:pos="1080"/>
        </w:tabs>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rPr>
        <w:t>18.6响应文件正本和副本应当采用胶装方式装订成册，不得散装或者合页装订。</w:t>
      </w:r>
    </w:p>
    <w:p>
      <w:pPr>
        <w:tabs>
          <w:tab w:val="left" w:pos="1080"/>
        </w:tabs>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rPr>
        <w:t>18.7响应文件应根据询价通知书的要求签署、盖章（第六章2.3规定的例外情形除外）。</w:t>
      </w:r>
    </w:p>
    <w:p>
      <w:pPr>
        <w:tabs>
          <w:tab w:val="left" w:pos="1080"/>
        </w:tabs>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rPr>
        <w:t>18.8响应文件统一用A4幅面纸印制，除另有规定外。</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19.响应文件的密封和标注（不属于本项目询价小组评审范畴，由采购人在接收响应文件时及时处理）</w:t>
      </w:r>
    </w:p>
    <w:p>
      <w:pPr>
        <w:tabs>
          <w:tab w:val="left" w:pos="1080"/>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19.1响应文件可以单独密封包装，也可以所有响应文件密封包装在一个密封袋内。</w:t>
      </w:r>
    </w:p>
    <w:p>
      <w:pPr>
        <w:tabs>
          <w:tab w:val="left" w:pos="1080"/>
        </w:tabs>
        <w:spacing w:line="360" w:lineRule="exact"/>
        <w:ind w:firstLine="480" w:firstLineChars="200"/>
        <w:rPr>
          <w:rStyle w:val="32"/>
          <w:rFonts w:hint="eastAsia" w:ascii="宋体" w:hAnsi="宋体" w:cs="宋体"/>
          <w:color w:val="auto"/>
          <w:highlight w:val="none"/>
        </w:rPr>
      </w:pPr>
      <w:r>
        <w:rPr>
          <w:rFonts w:hint="eastAsia" w:ascii="宋体" w:hAnsi="宋体" w:cs="宋体"/>
          <w:color w:val="auto"/>
          <w:sz w:val="24"/>
          <w:highlight w:val="none"/>
        </w:rPr>
        <w:t>19.2响应文件密封袋的最外层应清楚地标明采购</w:t>
      </w:r>
      <w:r>
        <w:rPr>
          <w:rFonts w:hint="eastAsia" w:ascii="宋体" w:hAnsi="宋体" w:cs="宋体"/>
          <w:color w:val="auto"/>
          <w:sz w:val="24"/>
          <w:highlight w:val="none"/>
          <w:lang w:eastAsia="zh-CN"/>
        </w:rPr>
        <w:t>项目名称</w:t>
      </w:r>
      <w:r>
        <w:rPr>
          <w:rFonts w:hint="eastAsia" w:ascii="宋体" w:hAnsi="宋体" w:cs="宋体"/>
          <w:color w:val="auto"/>
          <w:sz w:val="24"/>
          <w:highlight w:val="none"/>
        </w:rPr>
        <w:t>、采购项目编号、供应商名称。</w:t>
      </w:r>
    </w:p>
    <w:p>
      <w:pPr>
        <w:tabs>
          <w:tab w:val="left" w:pos="1080"/>
        </w:tabs>
        <w:spacing w:line="360" w:lineRule="exact"/>
        <w:ind w:firstLine="480" w:firstLineChars="200"/>
        <w:rPr>
          <w:rFonts w:hint="eastAsia" w:ascii="宋体" w:hAnsi="宋体" w:cs="宋体"/>
          <w:color w:val="auto"/>
          <w:szCs w:val="21"/>
          <w:highlight w:val="none"/>
        </w:rPr>
      </w:pPr>
      <w:r>
        <w:rPr>
          <w:rFonts w:hint="eastAsia" w:ascii="宋体" w:hAnsi="宋体" w:cs="宋体"/>
          <w:color w:val="auto"/>
          <w:sz w:val="24"/>
          <w:highlight w:val="none"/>
        </w:rPr>
        <w:t>19.3所有外层密封袋的封口处应粘贴牢固。</w:t>
      </w:r>
    </w:p>
    <w:p>
      <w:pPr>
        <w:tabs>
          <w:tab w:val="left" w:pos="1080"/>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19.4未密封的响应文件，采购人将拒收或者在时间允许的范围内，要求修改完善后接收。</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20.响应文件的递交</w:t>
      </w:r>
    </w:p>
    <w:p>
      <w:pPr>
        <w:tabs>
          <w:tab w:val="left" w:pos="1080"/>
        </w:tabs>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rPr>
        <w:t>20.1供应商应在询价通知书规定的提交响应文件截止时间前，将响应文件密封后送达询价地点，现场递交响应文件。在规定的递交响应文件截止时间后送达的响应文件，为无效响应文件，不予接收。供应商在递交响应文件时，用正楷填写本询价文件附件“递交响应文件签收表”，然后将签收表和响应文件一并递交给工作人员。</w:t>
      </w:r>
    </w:p>
    <w:p>
      <w:pPr>
        <w:tabs>
          <w:tab w:val="left" w:pos="1080"/>
        </w:tabs>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rPr>
        <w:t>20.2本次采购不接收邮寄的响应文件。</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21.响应文件的修改和撤回（补充、修改响应文件的密封和标注按照本章“19.响应文件的密封和标注”规定处理）</w:t>
      </w:r>
    </w:p>
    <w:p>
      <w:pPr>
        <w:pStyle w:val="6"/>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21.1供应商在提交响应文件后可对其响应文件进行修改或撤回，但该修改或撤回的书面通知须在递交截止时间之前送达，补充、修改的内容作为响应文件的组成部分，且该通知需经正式授权的供应商代表签字方为有效。修改的内容与响应文件不一致的，以补充、修改的内容为准。</w:t>
      </w:r>
    </w:p>
    <w:p>
      <w:pPr>
        <w:adjustRightInd w:val="0"/>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21.2供应商对响应文件修改的书面材料或撤回的通知应该按规定进行编写、密封、标注和递送，并注明“修改响应文件”字样。</w:t>
      </w:r>
    </w:p>
    <w:p>
      <w:pPr>
        <w:adjustRightInd w:val="0"/>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21.3供应商不得在递交截止时间起至响应文件有效期期满前撤销其响应文件。</w:t>
      </w:r>
    </w:p>
    <w:p>
      <w:pPr>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21.4供应商对其提交的响应文件的真实性、合法性承担法律责任。</w:t>
      </w:r>
    </w:p>
    <w:p>
      <w:pPr>
        <w:pStyle w:val="3"/>
        <w:keepNext w:val="0"/>
        <w:keepLines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五、询价及评审过程</w:t>
      </w:r>
    </w:p>
    <w:p>
      <w:pPr>
        <w:pStyle w:val="4"/>
        <w:keepNext w:val="0"/>
        <w:keepLines w:val="0"/>
        <w:spacing w:before="0" w:after="0" w:line="360" w:lineRule="exact"/>
        <w:ind w:firstLine="482" w:firstLineChars="200"/>
        <w:rPr>
          <w:rFonts w:hint="eastAsia" w:ascii="宋体" w:hAnsi="宋体" w:cs="宋体"/>
          <w:b w:val="0"/>
          <w:color w:val="auto"/>
          <w:sz w:val="24"/>
          <w:highlight w:val="none"/>
        </w:rPr>
      </w:pPr>
      <w:r>
        <w:rPr>
          <w:rFonts w:hint="eastAsia" w:ascii="宋体" w:hAnsi="宋体" w:cs="宋体"/>
          <w:color w:val="auto"/>
          <w:sz w:val="24"/>
          <w:highlight w:val="none"/>
        </w:rPr>
        <w:t>22.详见</w:t>
      </w:r>
      <w:r>
        <w:rPr>
          <w:rFonts w:hint="eastAsia" w:ascii="宋体" w:hAnsi="宋体" w:cs="宋体"/>
          <w:b w:val="0"/>
          <w:color w:val="auto"/>
          <w:sz w:val="24"/>
          <w:highlight w:val="none"/>
        </w:rPr>
        <w:t>本文件第六章的规定。</w:t>
      </w:r>
    </w:p>
    <w:p>
      <w:pPr>
        <w:pStyle w:val="3"/>
        <w:keepNext w:val="0"/>
        <w:keepLines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六、成交事项</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23.确定成交供应商</w:t>
      </w:r>
    </w:p>
    <w:p>
      <w:pPr>
        <w:adjustRightInd w:val="0"/>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23.1</w:t>
      </w:r>
      <w:r>
        <w:rPr>
          <w:rFonts w:hint="eastAsia" w:ascii="宋体" w:hAnsi="宋体" w:cs="宋体"/>
          <w:color w:val="auto"/>
          <w:sz w:val="24"/>
          <w:highlight w:val="none"/>
        </w:rPr>
        <w:t>采购人将按询价小组推荐的成交候选供应商顺序确定成交供应商。</w:t>
      </w:r>
    </w:p>
    <w:p>
      <w:pPr>
        <w:adjustRightInd w:val="0"/>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23.2采购人收到评审报告及有关资料后，将在5个工作日内按照评审报告中推荐的成交候选供应商顺序确定成交供应商。</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24.成交结果</w:t>
      </w:r>
    </w:p>
    <w:p>
      <w:pPr>
        <w:adjustRightInd w:val="0"/>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24.1采购人确定成交供应商后，将及时书面通知成交供应商，发出成交通知书。</w:t>
      </w:r>
    </w:p>
    <w:p>
      <w:pPr>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24.2成交供应商应当及时领取成交通知书。</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25.成交通知书</w:t>
      </w:r>
    </w:p>
    <w:p>
      <w:pPr>
        <w:adjustRightInd w:val="0"/>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25.1成交通知书为签订合同的依据之一，是合同的有效组成部分。</w:t>
      </w:r>
    </w:p>
    <w:p>
      <w:pPr>
        <w:adjustRightInd w:val="0"/>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25.2成交通知书对采购人和成交供应商均具有法律效力。成交通知书发出后，采购人无正当理由改变成交结果，或者成交供应商无正当理由放弃成交的，将承担相应的法律责任。</w:t>
      </w:r>
    </w:p>
    <w:p>
      <w:pPr>
        <w:pStyle w:val="3"/>
        <w:keepNext w:val="0"/>
        <w:keepLines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七、合同事项</w:t>
      </w:r>
    </w:p>
    <w:p>
      <w:pPr>
        <w:pStyle w:val="4"/>
        <w:keepNext w:val="0"/>
        <w:keepLines w:val="0"/>
        <w:spacing w:before="0" w:after="0" w:line="360" w:lineRule="exact"/>
        <w:ind w:firstLine="482" w:firstLineChars="200"/>
        <w:rPr>
          <w:rFonts w:hint="eastAsia" w:ascii="宋体" w:hAnsi="宋体" w:cs="宋体"/>
          <w:color w:val="auto"/>
          <w:sz w:val="24"/>
          <w:highlight w:val="none"/>
        </w:rPr>
      </w:pPr>
      <w:bookmarkStart w:id="21" w:name="_Toc101338364"/>
      <w:bookmarkStart w:id="22" w:name="_Toc101174151"/>
      <w:bookmarkStart w:id="23" w:name="_Toc430773927"/>
      <w:bookmarkStart w:id="24" w:name="_Toc209847069"/>
      <w:bookmarkStart w:id="25" w:name="_Toc101250646"/>
      <w:r>
        <w:rPr>
          <w:rFonts w:hint="eastAsia" w:ascii="宋体" w:hAnsi="宋体" w:cs="宋体"/>
          <w:color w:val="auto"/>
          <w:sz w:val="24"/>
          <w:highlight w:val="none"/>
        </w:rPr>
        <w:t>26.签订合同</w:t>
      </w:r>
      <w:bookmarkEnd w:id="21"/>
      <w:bookmarkEnd w:id="22"/>
      <w:bookmarkEnd w:id="23"/>
      <w:bookmarkEnd w:id="24"/>
      <w:bookmarkEnd w:id="25"/>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26.1成交供应商应在成交通知书发出之日起5个工作日内与采购人签订采购合同。由于成交供应商的原因逾期未与采购人签订采购合同的，将视为放弃成交，取消其成交资格并将按相关规定进行处理。</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26.2询价通知书、成交供应商的响应文件及双方确认的澄清文件、报价、成交供应商承诺书、成交通知书等，均为有法律约束力的经济合同的组成部分。</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26.3成交供应商因不可抗力原因不能履行采购合同或放弃成交的，采购人可以与排在成交供应商之后第一位的成交候选人签订采购合同，以此类推。</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27.合同分包（实质性要求）</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本项目不接受合同分包。</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28.合同转包（实质性要求）</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成交供应商转包的，视同拒绝履行采购合同义务，将依法追究法律责任。</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29.补充合同</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采购合同履行过程中，采购人需要追加与合同标的相同服务的，在不改变合同其他条款的前提下，可以与成交供应商协商签订补充合同，但所有补充合同的采购金额不得超过原合同采购金额的</w:t>
      </w:r>
      <w:r>
        <w:rPr>
          <w:rFonts w:hint="eastAsia" w:ascii="宋体" w:hAnsi="宋体" w:cs="宋体"/>
          <w:color w:val="auto"/>
          <w:sz w:val="24"/>
          <w:highlight w:val="none"/>
          <w:lang w:eastAsia="zh-CN"/>
        </w:rPr>
        <w:t>10%</w:t>
      </w:r>
      <w:r>
        <w:rPr>
          <w:rFonts w:hint="eastAsia" w:ascii="宋体" w:hAnsi="宋体" w:cs="宋体"/>
          <w:color w:val="auto"/>
          <w:sz w:val="24"/>
          <w:highlight w:val="none"/>
        </w:rPr>
        <w:t xml:space="preserve">。 </w:t>
      </w:r>
    </w:p>
    <w:p>
      <w:pPr>
        <w:pStyle w:val="4"/>
        <w:keepNext w:val="0"/>
        <w:keepLines w:val="0"/>
        <w:spacing w:before="0" w:after="0" w:line="360" w:lineRule="exact"/>
        <w:ind w:firstLine="482" w:firstLineChars="200"/>
        <w:rPr>
          <w:rFonts w:hint="eastAsia" w:ascii="宋体" w:hAnsi="宋体" w:cs="宋体"/>
          <w:color w:val="auto"/>
          <w:sz w:val="24"/>
          <w:szCs w:val="24"/>
          <w:highlight w:val="none"/>
        </w:rPr>
      </w:pPr>
      <w:r>
        <w:rPr>
          <w:rFonts w:hint="eastAsia" w:ascii="宋体" w:hAnsi="宋体" w:cs="宋体"/>
          <w:color w:val="auto"/>
          <w:sz w:val="24"/>
          <w:highlight w:val="none"/>
        </w:rPr>
        <w:t>30.履约保证金（实质性要求）</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本项目不收取履约保证金。</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31.履行合同</w:t>
      </w:r>
    </w:p>
    <w:p>
      <w:pPr>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31.1成交供应商与采购人签订合同后，合同双方应严格执行合同条款，履行合同规定的义务，保证合同的顺利完成。</w:t>
      </w:r>
    </w:p>
    <w:p>
      <w:pPr>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31.2在合同履行过程中，如发生合同纠纷，合同双方应按照《中华人民共和国民法典》的有关规定进行处理。</w:t>
      </w:r>
    </w:p>
    <w:p>
      <w:pPr>
        <w:pStyle w:val="3"/>
        <w:keepNext w:val="0"/>
        <w:keepLines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八、询价纪律要求</w:t>
      </w:r>
    </w:p>
    <w:p>
      <w:pPr>
        <w:pStyle w:val="4"/>
        <w:keepNext w:val="0"/>
        <w:keepLines w:val="0"/>
        <w:spacing w:before="0" w:after="0" w:line="360" w:lineRule="exact"/>
        <w:ind w:firstLine="482" w:firstLineChars="200"/>
        <w:rPr>
          <w:rFonts w:hint="eastAsia" w:ascii="宋体" w:hAnsi="宋体" w:cs="宋体"/>
          <w:color w:val="auto"/>
          <w:sz w:val="24"/>
          <w:highlight w:val="none"/>
        </w:rPr>
      </w:pPr>
      <w:r>
        <w:rPr>
          <w:rFonts w:hint="eastAsia" w:ascii="宋体" w:hAnsi="宋体" w:cs="宋体"/>
          <w:color w:val="auto"/>
          <w:sz w:val="24"/>
          <w:highlight w:val="none"/>
        </w:rPr>
        <w:t>33.供应商不得具有的情形</w:t>
      </w:r>
    </w:p>
    <w:p>
      <w:pPr>
        <w:tabs>
          <w:tab w:val="left" w:pos="851"/>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供应商参加本项目询价不得有下列情形：</w:t>
      </w:r>
    </w:p>
    <w:p>
      <w:pPr>
        <w:tabs>
          <w:tab w:val="left" w:pos="851"/>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（1）提供虚假材料谋取成交；</w:t>
      </w:r>
    </w:p>
    <w:p>
      <w:pPr>
        <w:tabs>
          <w:tab w:val="left" w:pos="851"/>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（2）采取不正当手段诋毁、排挤其他供应商；</w:t>
      </w:r>
    </w:p>
    <w:p>
      <w:pPr>
        <w:tabs>
          <w:tab w:val="left" w:pos="851"/>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（3）与采购人或其他供应商恶意串通；</w:t>
      </w:r>
    </w:p>
    <w:p>
      <w:pPr>
        <w:tabs>
          <w:tab w:val="left" w:pos="851"/>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（4）向采购人、询价小组成员行贿或者提供其他不正当利益；</w:t>
      </w:r>
    </w:p>
    <w:p>
      <w:pPr>
        <w:tabs>
          <w:tab w:val="left" w:pos="851"/>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（5）在询价过程中与采购人进行协商；</w:t>
      </w:r>
    </w:p>
    <w:p>
      <w:pPr>
        <w:tabs>
          <w:tab w:val="left" w:pos="851"/>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（6）成交后无正当理由拒不与采购人签订采购合同；</w:t>
      </w:r>
    </w:p>
    <w:p>
      <w:pPr>
        <w:tabs>
          <w:tab w:val="left" w:pos="851"/>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（7）未按照询价文件确定的事项签订采购合同；</w:t>
      </w:r>
    </w:p>
    <w:p>
      <w:pPr>
        <w:tabs>
          <w:tab w:val="left" w:pos="851"/>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（8）将采购合同转包或者违规分包；</w:t>
      </w:r>
    </w:p>
    <w:p>
      <w:pPr>
        <w:tabs>
          <w:tab w:val="left" w:pos="851"/>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（9）擅自变更、中止或者终止采购合同；</w:t>
      </w:r>
    </w:p>
    <w:p>
      <w:pPr>
        <w:tabs>
          <w:tab w:val="left" w:pos="851"/>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（10）拒绝有关部门的监督检查或者向监督检查部门提供虚假情况；</w:t>
      </w:r>
    </w:p>
    <w:p>
      <w:pPr>
        <w:tabs>
          <w:tab w:val="left" w:pos="851"/>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（11）法律法规规定的其他情形。</w:t>
      </w:r>
    </w:p>
    <w:p>
      <w:pPr>
        <w:tabs>
          <w:tab w:val="left" w:pos="851"/>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供应商有上述情形的，按照规定追究法律责任。</w:t>
      </w:r>
    </w:p>
    <w:p>
      <w:pPr>
        <w:tabs>
          <w:tab w:val="left" w:pos="851"/>
        </w:tabs>
        <w:spacing w:line="36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九、其  他</w:t>
      </w:r>
    </w:p>
    <w:p>
      <w:pPr>
        <w:pStyle w:val="4"/>
        <w:keepNext w:val="0"/>
        <w:keepLines w:val="0"/>
        <w:spacing w:before="0" w:after="0" w:line="360" w:lineRule="exact"/>
        <w:ind w:firstLine="482" w:firstLineChars="200"/>
        <w:rPr>
          <w:rFonts w:hint="eastAsia" w:ascii="宋体" w:hAnsi="宋体" w:cs="宋体"/>
          <w:b w:val="0"/>
          <w:color w:val="auto"/>
          <w:sz w:val="24"/>
          <w:highlight w:val="none"/>
        </w:rPr>
      </w:pPr>
      <w:r>
        <w:rPr>
          <w:rFonts w:hint="eastAsia" w:ascii="宋体" w:hAnsi="宋体" w:cs="宋体"/>
          <w:color w:val="auto"/>
          <w:sz w:val="24"/>
          <w:highlight w:val="none"/>
        </w:rPr>
        <w:t>34.（实质性要求）</w:t>
      </w:r>
      <w:r>
        <w:rPr>
          <w:rFonts w:hint="eastAsia" w:ascii="宋体" w:hAnsi="宋体" w:cs="宋体"/>
          <w:b w:val="0"/>
          <w:color w:val="auto"/>
          <w:sz w:val="24"/>
          <w:highlight w:val="none"/>
        </w:rPr>
        <w:t>国家或行业主管部门对采购服务的技术标准、质量标准和资格资质条件等有强制性规定的，必须符合其要求。</w:t>
      </w:r>
    </w:p>
    <w:p>
      <w:pPr>
        <w:pStyle w:val="22"/>
        <w:spacing w:line="360" w:lineRule="exact"/>
        <w:rPr>
          <w:rFonts w:hint="eastAsia" w:ascii="宋体" w:hAnsi="宋体" w:cs="宋体"/>
          <w:color w:val="auto"/>
          <w:sz w:val="28"/>
          <w:szCs w:val="28"/>
          <w:highlight w:val="none"/>
        </w:rPr>
      </w:pPr>
      <w:r>
        <w:rPr>
          <w:rFonts w:hint="eastAsia" w:ascii="宋体" w:hAnsi="宋体" w:cs="宋体"/>
          <w:color w:val="auto"/>
          <w:kern w:val="0"/>
          <w:sz w:val="24"/>
          <w:highlight w:val="none"/>
        </w:rPr>
        <w:br w:type="page"/>
      </w:r>
      <w:bookmarkStart w:id="26" w:name="_Toc94213283"/>
      <w:bookmarkStart w:id="27" w:name="_Toc1588"/>
      <w:bookmarkStart w:id="28" w:name="_Toc23447"/>
      <w:bookmarkStart w:id="29" w:name="_Toc27745"/>
      <w:bookmarkStart w:id="30" w:name="_Toc29447"/>
      <w:bookmarkStart w:id="31" w:name="_Toc183682368"/>
      <w:bookmarkStart w:id="32" w:name="_Toc77400782"/>
      <w:bookmarkStart w:id="33" w:name="_Toc183582231"/>
      <w:bookmarkStart w:id="34" w:name="_Toc217446056"/>
      <w:bookmarkStart w:id="35" w:name="_Toc89075878"/>
      <w:r>
        <w:rPr>
          <w:rFonts w:hint="eastAsia" w:ascii="宋体" w:hAnsi="宋体" w:cs="宋体"/>
          <w:color w:val="auto"/>
          <w:highlight w:val="none"/>
        </w:rPr>
        <w:t xml:space="preserve">第三章 </w:t>
      </w:r>
      <w:bookmarkEnd w:id="26"/>
      <w:bookmarkStart w:id="36" w:name="_Toc94213284"/>
      <w:r>
        <w:rPr>
          <w:rFonts w:hint="eastAsia" w:ascii="宋体" w:hAnsi="宋体" w:cs="宋体"/>
          <w:color w:val="auto"/>
          <w:highlight w:val="none"/>
        </w:rPr>
        <w:t xml:space="preserve"> 供应商应当提供的资格相关证明材料</w:t>
      </w:r>
      <w:bookmarkEnd w:id="27"/>
      <w:bookmarkEnd w:id="28"/>
      <w:bookmarkEnd w:id="29"/>
      <w:bookmarkEnd w:id="30"/>
      <w:bookmarkEnd w:id="36"/>
    </w:p>
    <w:p>
      <w:pPr>
        <w:spacing w:line="360" w:lineRule="exact"/>
        <w:ind w:firstLine="538"/>
        <w:rPr>
          <w:rFonts w:hint="eastAsia" w:ascii="宋体" w:hAnsi="宋体" w:cs="宋体"/>
          <w:color w:val="auto"/>
          <w:sz w:val="28"/>
          <w:szCs w:val="28"/>
          <w:highlight w:val="none"/>
        </w:rPr>
      </w:pP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1.具有独立承担民事责任的能力。（注：①供应商若为企业法人：提供“统一社会信用代码营业执照”；未换证</w:t>
      </w:r>
      <w:r>
        <w:rPr>
          <w:rFonts w:hint="eastAsia" w:ascii="宋体" w:hAnsi="宋体" w:cs="宋体"/>
          <w:color w:val="auto"/>
          <w:sz w:val="24"/>
          <w:highlight w:val="none"/>
          <w:lang w:eastAsia="zh-CN"/>
        </w:rPr>
        <w:t>地提供</w:t>
      </w:r>
      <w:r>
        <w:rPr>
          <w:rFonts w:hint="eastAsia" w:ascii="宋体" w:hAnsi="宋体" w:cs="宋体"/>
          <w:color w:val="auto"/>
          <w:sz w:val="24"/>
          <w:highlight w:val="none"/>
        </w:rPr>
        <w:t>“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不接受自然人报名。以上均提供复印件）</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2.具备良好商业信誉的证明材料（提供承诺函，格式详见第五章）；</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3.具有依法缴纳税收和社会保障资金的良好记录（提供承诺函，格式详见第五章）；</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4.具备履行合同所必需的设备和专业技术能力的证明材料（提供承诺函，格式详见第五章）；</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5.参加</w:t>
      </w:r>
      <w:r>
        <w:rPr>
          <w:rFonts w:hint="eastAsia" w:ascii="宋体" w:hAnsi="宋体" w:cs="宋体"/>
          <w:color w:val="auto"/>
          <w:sz w:val="24"/>
          <w:highlight w:val="none"/>
          <w:lang w:val="en-US" w:eastAsia="zh-CN"/>
        </w:rPr>
        <w:t>本次</w:t>
      </w:r>
      <w:r>
        <w:rPr>
          <w:rFonts w:hint="eastAsia" w:ascii="宋体" w:hAnsi="宋体" w:cs="宋体"/>
          <w:color w:val="auto"/>
          <w:sz w:val="24"/>
          <w:highlight w:val="none"/>
        </w:rPr>
        <w:t>采购活动前</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近</w:t>
      </w:r>
      <w:r>
        <w:rPr>
          <w:rFonts w:hint="eastAsia" w:ascii="宋体" w:hAnsi="宋体" w:cs="宋体"/>
          <w:color w:val="auto"/>
          <w:sz w:val="24"/>
          <w:highlight w:val="none"/>
        </w:rPr>
        <w:t>3年内在经营活动中没有重大违法记录的承诺函（格式详见第五章）；</w:t>
      </w:r>
    </w:p>
    <w:p>
      <w:pPr>
        <w:spacing w:after="50"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6.具备法律、行政法规规定的其他条件的证明材料（提供承诺函，格式详见第五章）；</w:t>
      </w:r>
    </w:p>
    <w:p>
      <w:pPr>
        <w:spacing w:after="50"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7.法定代表人/单位负责人身份证明材料复印件；</w:t>
      </w:r>
    </w:p>
    <w:p>
      <w:pPr>
        <w:spacing w:after="50" w:line="360" w:lineRule="exact"/>
        <w:ind w:firstLine="480"/>
        <w:rPr>
          <w:rFonts w:ascii="宋体" w:hAnsi="宋体" w:cs="宋体"/>
          <w:color w:val="auto"/>
          <w:sz w:val="24"/>
          <w:highlight w:val="none"/>
        </w:rPr>
      </w:pPr>
      <w:r>
        <w:rPr>
          <w:rFonts w:hint="eastAsia" w:ascii="宋体" w:hAnsi="宋体" w:cs="宋体"/>
          <w:color w:val="auto"/>
          <w:sz w:val="24"/>
          <w:highlight w:val="none"/>
        </w:rPr>
        <w:t>8.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询价的，则可不提供）</w:t>
      </w:r>
    </w:p>
    <w:p>
      <w:pPr>
        <w:spacing w:after="50"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9.</w:t>
      </w:r>
      <w:r>
        <w:rPr>
          <w:rFonts w:hint="eastAsia"/>
          <w:color w:val="auto"/>
          <w:highlight w:val="none"/>
        </w:rPr>
        <w:t xml:space="preserve"> </w:t>
      </w:r>
      <w:r>
        <w:rPr>
          <w:rFonts w:hint="eastAsia" w:ascii="宋体" w:hAnsi="宋体" w:eastAsia="宋体" w:cs="宋体"/>
          <w:color w:val="auto"/>
          <w:sz w:val="24"/>
          <w:highlight w:val="none"/>
          <w:lang w:val="en-US" w:eastAsia="zh-CN"/>
        </w:rPr>
        <w:t>提供</w:t>
      </w:r>
      <w:r>
        <w:rPr>
          <w:rFonts w:hint="eastAsia" w:ascii="宋体" w:hAnsi="宋体" w:eastAsia="宋体" w:cs="宋体"/>
          <w:color w:val="auto"/>
          <w:sz w:val="24"/>
          <w:highlight w:val="none"/>
        </w:rPr>
        <w:t>不</w:t>
      </w:r>
      <w:r>
        <w:rPr>
          <w:rFonts w:hint="eastAsia" w:ascii="宋体" w:hAnsi="宋体" w:cs="宋体"/>
          <w:color w:val="auto"/>
          <w:sz w:val="24"/>
          <w:highlight w:val="none"/>
        </w:rPr>
        <w:t>少于2</w:t>
      </w:r>
      <w:r>
        <w:rPr>
          <w:rFonts w:hint="eastAsia" w:ascii="宋体" w:hAnsi="宋体" w:cs="宋体"/>
          <w:color w:val="auto"/>
          <w:sz w:val="24"/>
          <w:highlight w:val="none"/>
          <w:lang w:val="en-US" w:eastAsia="zh-CN"/>
        </w:rPr>
        <w:t>个安装（侧重机电）工程造价咨询服务</w:t>
      </w:r>
      <w:r>
        <w:rPr>
          <w:rFonts w:hint="eastAsia" w:ascii="宋体" w:hAnsi="宋体" w:cs="宋体"/>
          <w:color w:val="auto"/>
          <w:sz w:val="24"/>
          <w:highlight w:val="none"/>
        </w:rPr>
        <w:t>业绩证明材料</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如业绩合同等</w:t>
      </w:r>
      <w:r>
        <w:rPr>
          <w:rFonts w:hint="eastAsia" w:ascii="宋体" w:hAnsi="宋体" w:cs="宋体"/>
          <w:color w:val="auto"/>
          <w:sz w:val="24"/>
          <w:highlight w:val="none"/>
        </w:rPr>
        <w:t>。</w:t>
      </w:r>
    </w:p>
    <w:p>
      <w:pPr>
        <w:spacing w:after="50" w:line="360" w:lineRule="exact"/>
        <w:ind w:firstLine="480"/>
        <w:rPr>
          <w:rFonts w:hint="eastAsia" w:ascii="宋体" w:hAnsi="宋体" w:cs="宋体"/>
          <w:color w:val="auto"/>
          <w:sz w:val="24"/>
          <w:highlight w:val="none"/>
        </w:rPr>
      </w:pPr>
    </w:p>
    <w:p>
      <w:pPr>
        <w:spacing w:line="360" w:lineRule="exact"/>
        <w:ind w:firstLine="480" w:firstLineChars="200"/>
        <w:rPr>
          <w:rFonts w:hint="eastAsia" w:ascii="宋体" w:hAnsi="宋体" w:cs="宋体"/>
          <w:color w:val="auto"/>
          <w:sz w:val="24"/>
          <w:highlight w:val="none"/>
        </w:rPr>
      </w:pPr>
    </w:p>
    <w:p>
      <w:pPr>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注：以上要求供应商提供的资料复印件均须加盖供应商单位的公章（鲜章）。</w:t>
      </w:r>
    </w:p>
    <w:p>
      <w:pPr>
        <w:pStyle w:val="22"/>
        <w:spacing w:line="360" w:lineRule="exact"/>
        <w:rPr>
          <w:rFonts w:hint="eastAsia" w:ascii="宋体" w:hAnsi="宋体" w:cs="宋体"/>
          <w:color w:val="auto"/>
          <w:highlight w:val="none"/>
        </w:rPr>
      </w:pPr>
      <w:r>
        <w:rPr>
          <w:rFonts w:hint="eastAsia" w:ascii="宋体" w:hAnsi="宋体" w:cs="宋体"/>
          <w:color w:val="auto"/>
          <w:sz w:val="24"/>
          <w:highlight w:val="none"/>
        </w:rPr>
        <w:br w:type="page"/>
      </w:r>
      <w:bookmarkEnd w:id="31"/>
      <w:bookmarkEnd w:id="32"/>
      <w:bookmarkEnd w:id="33"/>
      <w:bookmarkEnd w:id="34"/>
      <w:bookmarkEnd w:id="35"/>
      <w:bookmarkStart w:id="37" w:name="_Toc7104"/>
      <w:bookmarkStart w:id="38" w:name="_Toc29754"/>
      <w:bookmarkStart w:id="39" w:name="_Toc7358"/>
      <w:bookmarkStart w:id="40" w:name="_Toc6842"/>
      <w:bookmarkStart w:id="41" w:name="_Toc94213285"/>
      <w:bookmarkStart w:id="42" w:name="_Toc183682369"/>
      <w:bookmarkStart w:id="43" w:name="_Toc217446057"/>
      <w:bookmarkStart w:id="44" w:name="_Toc183582232"/>
      <w:r>
        <w:rPr>
          <w:rFonts w:hint="eastAsia" w:ascii="宋体" w:hAnsi="宋体" w:cs="宋体"/>
          <w:color w:val="auto"/>
          <w:highlight w:val="none"/>
        </w:rPr>
        <w:t>第四章  采购项目商务及技术要求</w:t>
      </w:r>
      <w:bookmarkEnd w:id="37"/>
      <w:bookmarkEnd w:id="38"/>
      <w:bookmarkEnd w:id="39"/>
      <w:bookmarkEnd w:id="40"/>
      <w:bookmarkEnd w:id="41"/>
    </w:p>
    <w:p>
      <w:pPr>
        <w:pStyle w:val="55"/>
        <w:spacing w:line="360" w:lineRule="exact"/>
        <w:ind w:firstLine="480"/>
        <w:rPr>
          <w:rFonts w:hint="eastAsia" w:ascii="宋体" w:hAnsi="宋体" w:eastAsia="宋体" w:cs="宋体"/>
          <w:color w:val="auto"/>
          <w:highlight w:val="none"/>
        </w:rPr>
      </w:pPr>
    </w:p>
    <w:p>
      <w:pPr>
        <w:pStyle w:val="3"/>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项目概述</w:t>
      </w:r>
    </w:p>
    <w:p>
      <w:pPr>
        <w:pStyle w:val="6"/>
        <w:spacing w:line="360" w:lineRule="exact"/>
        <w:ind w:firstLine="464"/>
        <w:rPr>
          <w:rFonts w:hint="eastAsia" w:ascii="宋体" w:hAnsi="宋体" w:cs="宋体"/>
          <w:color w:val="auto"/>
          <w:sz w:val="24"/>
          <w:highlight w:val="none"/>
        </w:rPr>
      </w:pPr>
      <w:r>
        <w:rPr>
          <w:rFonts w:hint="eastAsia" w:ascii="宋体" w:hAnsi="宋体" w:cs="宋体"/>
          <w:color w:val="auto"/>
          <w:spacing w:val="-4"/>
          <w:sz w:val="24"/>
          <w:highlight w:val="none"/>
        </w:rPr>
        <w:t>本项目共1个包，采购</w:t>
      </w:r>
      <w:r>
        <w:rPr>
          <w:rFonts w:hint="eastAsia" w:ascii="宋体" w:hAnsi="宋体" w:cs="宋体"/>
          <w:color w:val="auto"/>
          <w:sz w:val="24"/>
          <w:highlight w:val="none"/>
        </w:rPr>
        <w:t>新良大厦1-4号电梯更新改造项目工程造价咨询服务</w:t>
      </w:r>
      <w:r>
        <w:rPr>
          <w:rFonts w:hint="eastAsia" w:ascii="宋体" w:hAnsi="宋体" w:cs="宋体"/>
          <w:bCs/>
          <w:color w:val="auto"/>
          <w:sz w:val="24"/>
          <w:highlight w:val="none"/>
          <w:u w:val="single"/>
          <w:lang w:eastAsia="zh-CN"/>
        </w:rPr>
        <w:t>（</w:t>
      </w:r>
      <w:r>
        <w:rPr>
          <w:rFonts w:hint="eastAsia" w:ascii="宋体" w:hAnsi="宋体" w:cs="宋体"/>
          <w:bCs/>
          <w:color w:val="auto"/>
          <w:sz w:val="24"/>
          <w:highlight w:val="none"/>
          <w:u w:val="single"/>
          <w:lang w:val="en-US" w:eastAsia="zh-CN"/>
        </w:rPr>
        <w:t>最高投标限价编制及工程量清单编制服务</w:t>
      </w:r>
      <w:r>
        <w:rPr>
          <w:rFonts w:hint="eastAsia" w:ascii="宋体" w:hAnsi="宋体" w:cs="宋体"/>
          <w:bCs/>
          <w:color w:val="auto"/>
          <w:sz w:val="24"/>
          <w:highlight w:val="none"/>
          <w:u w:val="single"/>
          <w:lang w:eastAsia="zh-CN"/>
        </w:rPr>
        <w:t>）</w:t>
      </w:r>
      <w:r>
        <w:rPr>
          <w:rFonts w:hint="eastAsia" w:ascii="宋体" w:hAnsi="宋体" w:cs="宋体"/>
          <w:color w:val="auto"/>
          <w:sz w:val="24"/>
          <w:highlight w:val="none"/>
        </w:rPr>
        <w:t>。</w:t>
      </w:r>
    </w:p>
    <w:p>
      <w:pPr>
        <w:pStyle w:val="3"/>
        <w:spacing w:line="360" w:lineRule="exact"/>
        <w:rPr>
          <w:rFonts w:hint="eastAsia" w:ascii="宋体" w:hAnsi="宋体" w:eastAsia="宋体" w:cs="宋体"/>
          <w:b w:val="0"/>
          <w:bCs w:val="0"/>
          <w:color w:val="auto"/>
          <w:spacing w:val="-4"/>
          <w:sz w:val="24"/>
          <w:szCs w:val="24"/>
          <w:highlight w:val="none"/>
        </w:rPr>
      </w:pPr>
      <w:r>
        <w:rPr>
          <w:rFonts w:hint="eastAsia" w:ascii="宋体" w:hAnsi="宋体" w:eastAsia="宋体" w:cs="宋体"/>
          <w:color w:val="auto"/>
          <w:sz w:val="24"/>
          <w:szCs w:val="24"/>
          <w:highlight w:val="none"/>
          <w:lang w:eastAsia="zh-Hans"/>
        </w:rPr>
        <w:t>二</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4"/>
          <w:sz w:val="24"/>
          <w:szCs w:val="24"/>
          <w:highlight w:val="none"/>
          <w:lang w:eastAsia="zh-Hans"/>
        </w:rPr>
        <w:t>商务</w:t>
      </w:r>
      <w:r>
        <w:rPr>
          <w:rFonts w:hint="eastAsia" w:ascii="宋体" w:hAnsi="宋体" w:eastAsia="宋体" w:cs="宋体"/>
          <w:b w:val="0"/>
          <w:bCs w:val="0"/>
          <w:color w:val="auto"/>
          <w:spacing w:val="-4"/>
          <w:sz w:val="24"/>
          <w:szCs w:val="24"/>
          <w:highlight w:val="none"/>
        </w:rPr>
        <w:t xml:space="preserve">要求  </w:t>
      </w:r>
    </w:p>
    <w:p>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（一）项目地点：四川省成都市。</w:t>
      </w:r>
    </w:p>
    <w:p>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（二）计划工期和服务期限：</w:t>
      </w:r>
    </w:p>
    <w:p>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1.计划工期：要求成交供应商在合同签订后1</w:t>
      </w:r>
      <w:r>
        <w:rPr>
          <w:rFonts w:hint="eastAsia" w:ascii="宋体" w:hAnsi="宋体" w:cs="宋体"/>
          <w:color w:val="auto"/>
          <w:spacing w:val="-4"/>
          <w:sz w:val="24"/>
          <w:highlight w:val="none"/>
          <w:lang w:val="en-US" w:eastAsia="zh-CN"/>
        </w:rPr>
        <w:t>0</w:t>
      </w:r>
      <w:r>
        <w:rPr>
          <w:rFonts w:hint="eastAsia" w:ascii="宋体" w:hAnsi="宋体" w:cs="宋体"/>
          <w:color w:val="auto"/>
          <w:spacing w:val="-4"/>
          <w:sz w:val="24"/>
          <w:highlight w:val="none"/>
        </w:rPr>
        <w:t>天内完成新良大厦1-4号电梯更新改造项目工程造价咨询服务</w:t>
      </w:r>
      <w:r>
        <w:rPr>
          <w:rFonts w:hint="eastAsia" w:ascii="宋体" w:hAnsi="宋体" w:cs="宋体"/>
          <w:bCs/>
          <w:color w:val="auto"/>
          <w:sz w:val="24"/>
          <w:highlight w:val="none"/>
          <w:u w:val="single"/>
          <w:lang w:eastAsia="zh-CN"/>
        </w:rPr>
        <w:t>（</w:t>
      </w:r>
      <w:r>
        <w:rPr>
          <w:rFonts w:hint="eastAsia" w:ascii="宋体" w:hAnsi="宋体" w:cs="宋体"/>
          <w:bCs/>
          <w:color w:val="auto"/>
          <w:sz w:val="24"/>
          <w:highlight w:val="none"/>
          <w:u w:val="single"/>
          <w:lang w:val="en-US" w:eastAsia="zh-CN"/>
        </w:rPr>
        <w:t>最高投标限价编制及工程量清单编制服务</w:t>
      </w:r>
      <w:r>
        <w:rPr>
          <w:rFonts w:hint="eastAsia" w:ascii="宋体" w:hAnsi="宋体" w:cs="宋体"/>
          <w:bCs/>
          <w:color w:val="auto"/>
          <w:sz w:val="24"/>
          <w:highlight w:val="none"/>
          <w:u w:val="single"/>
          <w:lang w:eastAsia="zh-CN"/>
        </w:rPr>
        <w:t>）</w:t>
      </w:r>
      <w:r>
        <w:rPr>
          <w:rFonts w:hint="eastAsia" w:ascii="宋体" w:hAnsi="宋体" w:cs="宋体"/>
          <w:color w:val="auto"/>
          <w:spacing w:val="-4"/>
          <w:sz w:val="24"/>
          <w:highlight w:val="none"/>
        </w:rPr>
        <w:t>的全部要求，并将</w:t>
      </w:r>
      <w:r>
        <w:rPr>
          <w:rFonts w:hint="eastAsia" w:ascii="宋体" w:hAnsi="宋体" w:cs="宋体"/>
          <w:color w:val="auto"/>
          <w:spacing w:val="-4"/>
          <w:sz w:val="24"/>
          <w:highlight w:val="none"/>
          <w:lang w:eastAsia="zh-CN"/>
        </w:rPr>
        <w:t>最高投标限价</w:t>
      </w:r>
      <w:r>
        <w:rPr>
          <w:rFonts w:hint="eastAsia" w:ascii="宋体" w:hAnsi="宋体" w:cs="宋体"/>
          <w:color w:val="auto"/>
          <w:spacing w:val="-4"/>
          <w:sz w:val="24"/>
          <w:highlight w:val="none"/>
        </w:rPr>
        <w:t>、工程量清单等工程造价咨询服务成果资料书面提交给采购人。</w:t>
      </w:r>
    </w:p>
    <w:p>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2.服务期限：至新良大厦1-4号电梯更新改造项目</w:t>
      </w:r>
      <w:r>
        <w:rPr>
          <w:rFonts w:hint="eastAsia" w:ascii="宋体" w:hAnsi="宋体" w:cs="宋体"/>
          <w:color w:val="auto"/>
          <w:spacing w:val="-4"/>
          <w:sz w:val="24"/>
          <w:highlight w:val="none"/>
          <w:lang w:val="en-US" w:eastAsia="zh-CN"/>
        </w:rPr>
        <w:t>结算审核</w:t>
      </w:r>
      <w:r>
        <w:rPr>
          <w:rFonts w:hint="eastAsia" w:ascii="宋体" w:hAnsi="宋体" w:cs="宋体"/>
          <w:color w:val="auto"/>
          <w:spacing w:val="-4"/>
          <w:sz w:val="24"/>
          <w:highlight w:val="none"/>
        </w:rPr>
        <w:t>完成之日。</w:t>
      </w:r>
    </w:p>
    <w:p>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（三）付款要求：</w:t>
      </w:r>
    </w:p>
    <w:p>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1.</w:t>
      </w:r>
      <w:r>
        <w:rPr>
          <w:rFonts w:hint="eastAsia" w:ascii="宋体" w:hAnsi="宋体" w:cs="宋体"/>
          <w:color w:val="auto"/>
          <w:spacing w:val="-4"/>
          <w:sz w:val="24"/>
          <w:highlight w:val="none"/>
          <w:lang w:val="en-US" w:eastAsia="zh-CN"/>
        </w:rPr>
        <w:t>成交供应商</w:t>
      </w:r>
      <w:r>
        <w:rPr>
          <w:rFonts w:hint="eastAsia" w:ascii="宋体" w:hAnsi="宋体" w:cs="宋体"/>
          <w:color w:val="auto"/>
          <w:spacing w:val="-4"/>
          <w:sz w:val="24"/>
          <w:highlight w:val="none"/>
        </w:rPr>
        <w:t>将</w:t>
      </w:r>
      <w:r>
        <w:rPr>
          <w:rFonts w:hint="eastAsia" w:ascii="宋体" w:hAnsi="宋体" w:cs="宋体"/>
          <w:color w:val="auto"/>
          <w:spacing w:val="-4"/>
          <w:sz w:val="24"/>
          <w:highlight w:val="none"/>
          <w:lang w:eastAsia="zh-CN"/>
        </w:rPr>
        <w:t>最高投标限价</w:t>
      </w:r>
      <w:r>
        <w:rPr>
          <w:rFonts w:hint="eastAsia" w:ascii="宋体" w:hAnsi="宋体" w:cs="宋体"/>
          <w:color w:val="auto"/>
          <w:spacing w:val="-4"/>
          <w:sz w:val="24"/>
          <w:highlight w:val="none"/>
        </w:rPr>
        <w:t>、工程量清单等工程造价咨询服务成果资料书面提交给采购人</w:t>
      </w:r>
      <w:r>
        <w:rPr>
          <w:rFonts w:hint="eastAsia" w:ascii="宋体" w:hAnsi="宋体" w:cs="宋体"/>
          <w:color w:val="auto"/>
          <w:spacing w:val="-4"/>
          <w:sz w:val="24"/>
          <w:highlight w:val="none"/>
          <w:lang w:val="en-US" w:eastAsia="zh-CN"/>
        </w:rPr>
        <w:t>10个工作日内</w:t>
      </w:r>
      <w:r>
        <w:rPr>
          <w:rFonts w:hint="eastAsia" w:ascii="宋体" w:hAnsi="宋体" w:cs="宋体"/>
          <w:color w:val="auto"/>
          <w:spacing w:val="-4"/>
          <w:sz w:val="24"/>
          <w:highlight w:val="none"/>
        </w:rPr>
        <w:t>，采购人支付</w:t>
      </w:r>
      <w:r>
        <w:rPr>
          <w:rFonts w:hint="eastAsia" w:ascii="宋体" w:hAnsi="宋体" w:cs="宋体"/>
          <w:color w:val="auto"/>
          <w:spacing w:val="-4"/>
          <w:sz w:val="24"/>
          <w:highlight w:val="none"/>
          <w:lang w:val="en-US" w:eastAsia="zh-CN"/>
        </w:rPr>
        <w:t>至合同金额的80%；新良大厦1-4号电梯更新改造项目结算审核完成后10个工作日内，采购人支付至合同金额的100%</w:t>
      </w:r>
      <w:r>
        <w:rPr>
          <w:rFonts w:hint="eastAsia" w:ascii="宋体" w:hAnsi="宋体" w:cs="宋体"/>
          <w:color w:val="auto"/>
          <w:spacing w:val="-4"/>
          <w:sz w:val="24"/>
          <w:highlight w:val="none"/>
        </w:rPr>
        <w:t>。</w:t>
      </w:r>
    </w:p>
    <w:p>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2.提供6%增值税专用发票。若税率变动，则以成交价格的不含税价格（税率6%）为基础重新计算合同金额。</w:t>
      </w:r>
    </w:p>
    <w:p>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（四）相关服务要求</w:t>
      </w:r>
    </w:p>
    <w:p>
      <w:pPr>
        <w:pStyle w:val="10"/>
        <w:widowControl/>
        <w:adjustRightInd w:val="0"/>
        <w:snapToGrid w:val="0"/>
        <w:spacing w:after="0"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1.在整个服务过程中，供应商不得擅自更改经采购人审定的各类文件，若确需更改，须事前征得采购人同意。</w:t>
      </w:r>
    </w:p>
    <w:p>
      <w:pPr>
        <w:pStyle w:val="10"/>
        <w:widowControl/>
        <w:adjustRightInd w:val="0"/>
        <w:snapToGrid w:val="0"/>
        <w:spacing w:after="0"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2.供应商须</w:t>
      </w:r>
      <w:r>
        <w:rPr>
          <w:rFonts w:hint="eastAsia" w:ascii="宋体" w:hAnsi="宋体" w:cs="宋体"/>
          <w:color w:val="auto"/>
          <w:spacing w:val="-4"/>
          <w:sz w:val="24"/>
          <w:highlight w:val="none"/>
          <w:lang w:eastAsia="zh-CN"/>
        </w:rPr>
        <w:t>按照</w:t>
      </w:r>
      <w:r>
        <w:rPr>
          <w:rFonts w:hint="eastAsia" w:ascii="宋体" w:hAnsi="宋体" w:cs="宋体"/>
          <w:color w:val="auto"/>
          <w:spacing w:val="-4"/>
          <w:sz w:val="24"/>
          <w:highlight w:val="none"/>
        </w:rPr>
        <w:t>合同约定的工作时限开展服务工作，并随时主动跟踪服务，防止工作中的遗漏和疏忽。</w:t>
      </w:r>
    </w:p>
    <w:p>
      <w:pPr>
        <w:pStyle w:val="10"/>
        <w:widowControl/>
        <w:adjustRightInd w:val="0"/>
        <w:snapToGrid w:val="0"/>
        <w:spacing w:after="0"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3.供应商须遵守有关法律、政策及法规的规定及职业操守要求，不得泄露对服务工作中应当保密的与造价活动有关的情况、资料和其他事项。</w:t>
      </w:r>
    </w:p>
    <w:p>
      <w:pPr>
        <w:pStyle w:val="10"/>
        <w:widowControl/>
        <w:adjustRightInd w:val="0"/>
        <w:snapToGrid w:val="0"/>
        <w:spacing w:line="360" w:lineRule="exact"/>
        <w:ind w:firstLine="464" w:firstLineChars="200"/>
        <w:rPr>
          <w:rFonts w:hint="eastAsia" w:ascii="宋体" w:hAnsi="宋体" w:cs="宋体"/>
          <w:color w:val="auto"/>
          <w:highlight w:val="none"/>
        </w:rPr>
      </w:pPr>
      <w:r>
        <w:rPr>
          <w:rFonts w:hint="eastAsia" w:ascii="宋体" w:hAnsi="宋体" w:cs="宋体"/>
          <w:color w:val="auto"/>
          <w:spacing w:val="-4"/>
          <w:sz w:val="24"/>
          <w:highlight w:val="none"/>
        </w:rPr>
        <w:t>4.项目实施过程中产生的知识成果及知识产权归采购人所有。</w:t>
      </w:r>
    </w:p>
    <w:p>
      <w:pPr>
        <w:pStyle w:val="3"/>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三．技术服务要求</w:t>
      </w:r>
    </w:p>
    <w:tbl>
      <w:tblPr>
        <w:tblStyle w:val="26"/>
        <w:tblW w:w="4470" w:type="pct"/>
        <w:jc w:val="center"/>
        <w:tblLayout w:type="autofit"/>
        <w:tblCellMar>
          <w:top w:w="0" w:type="dxa"/>
          <w:left w:w="108" w:type="dxa"/>
          <w:bottom w:w="0" w:type="dxa"/>
          <w:right w:w="108" w:type="dxa"/>
        </w:tblCellMar>
      </w:tblPr>
      <w:tblGrid>
        <w:gridCol w:w="1068"/>
        <w:gridCol w:w="6552"/>
      </w:tblGrid>
      <w:tr>
        <w:tblPrEx>
          <w:tblCellMar>
            <w:top w:w="0" w:type="dxa"/>
            <w:left w:w="108" w:type="dxa"/>
            <w:bottom w:w="0" w:type="dxa"/>
            <w:right w:w="108" w:type="dxa"/>
          </w:tblCellMar>
        </w:tblPrEx>
        <w:trPr>
          <w:trHeight w:val="494" w:hRule="atLeast"/>
          <w:jc w:val="center"/>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lang w:bidi="ar"/>
              </w:rPr>
              <w:t>采购品目</w:t>
            </w:r>
          </w:p>
        </w:tc>
        <w:tc>
          <w:tcPr>
            <w:tcW w:w="4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lang w:bidi="ar"/>
              </w:rPr>
              <w:t>采购内容</w:t>
            </w:r>
          </w:p>
        </w:tc>
      </w:tr>
      <w:tr>
        <w:tblPrEx>
          <w:tblCellMar>
            <w:top w:w="0" w:type="dxa"/>
            <w:left w:w="108" w:type="dxa"/>
            <w:bottom w:w="0" w:type="dxa"/>
            <w:right w:w="108" w:type="dxa"/>
          </w:tblCellMar>
        </w:tblPrEx>
        <w:trPr>
          <w:trHeight w:val="824" w:hRule="exac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（一）新良大厦1-4号电梯更新改造项目工程造价咨询服务</w:t>
            </w:r>
            <w:r>
              <w:rPr>
                <w:rFonts w:hint="eastAsia" w:ascii="宋体" w:hAnsi="宋体" w:cs="宋体"/>
                <w:b/>
                <w:bCs/>
                <w:color w:val="auto"/>
                <w:kern w:val="0"/>
                <w:sz w:val="20"/>
                <w:szCs w:val="20"/>
                <w:highlight w:val="none"/>
                <w:u w:val="none"/>
                <w:lang w:eastAsia="zh-CN" w:bidi="ar"/>
              </w:rPr>
              <w:t>（</w:t>
            </w:r>
            <w:r>
              <w:rPr>
                <w:rFonts w:hint="eastAsia" w:ascii="宋体" w:hAnsi="宋体" w:cs="宋体"/>
                <w:b/>
                <w:bCs/>
                <w:color w:val="auto"/>
                <w:kern w:val="0"/>
                <w:sz w:val="20"/>
                <w:szCs w:val="20"/>
                <w:highlight w:val="none"/>
                <w:u w:val="none"/>
                <w:lang w:val="en-US" w:eastAsia="zh-CN" w:bidi="ar"/>
              </w:rPr>
              <w:t>最高投标限价编制及工程量清单编制服务</w:t>
            </w:r>
            <w:r>
              <w:rPr>
                <w:rFonts w:hint="eastAsia" w:ascii="宋体" w:hAnsi="宋体" w:cs="宋体"/>
                <w:b/>
                <w:bCs/>
                <w:color w:val="auto"/>
                <w:kern w:val="0"/>
                <w:sz w:val="20"/>
                <w:szCs w:val="20"/>
                <w:highlight w:val="none"/>
                <w:u w:val="none"/>
                <w:lang w:eastAsia="zh-CN" w:bidi="ar"/>
              </w:rPr>
              <w:t>）</w:t>
            </w:r>
          </w:p>
        </w:tc>
      </w:tr>
      <w:tr>
        <w:tblPrEx>
          <w:tblCellMar>
            <w:top w:w="0" w:type="dxa"/>
            <w:left w:w="108" w:type="dxa"/>
            <w:bottom w:w="0" w:type="dxa"/>
            <w:right w:w="108" w:type="dxa"/>
          </w:tblCellMar>
        </w:tblPrEx>
        <w:trPr>
          <w:trHeight w:val="491" w:hRule="exact"/>
          <w:jc w:val="center"/>
        </w:trPr>
        <w:tc>
          <w:tcPr>
            <w:tcW w:w="701"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exact"/>
              <w:jc w:val="center"/>
              <w:textAlignment w:val="top"/>
              <w:rPr>
                <w:rFonts w:hint="eastAsia" w:ascii="宋体" w:hAnsi="宋体" w:cs="宋体"/>
                <w:color w:val="auto"/>
                <w:szCs w:val="21"/>
                <w:highlight w:val="none"/>
              </w:rPr>
            </w:pPr>
            <w:r>
              <w:rPr>
                <w:rFonts w:hint="eastAsia" w:ascii="宋体" w:hAnsi="宋体" w:cs="宋体"/>
                <w:color w:val="auto"/>
                <w:kern w:val="0"/>
                <w:sz w:val="24"/>
                <w:highlight w:val="none"/>
                <w:lang w:bidi="ar"/>
              </w:rPr>
              <w:t>1</w:t>
            </w:r>
          </w:p>
        </w:tc>
        <w:tc>
          <w:tcPr>
            <w:tcW w:w="4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 w:val="24"/>
                <w:highlight w:val="none"/>
                <w:lang w:eastAsia="zh-CN" w:bidi="ar"/>
              </w:rPr>
              <w:t>最高投标限价</w:t>
            </w:r>
          </w:p>
        </w:tc>
      </w:tr>
      <w:tr>
        <w:tblPrEx>
          <w:tblCellMar>
            <w:top w:w="0" w:type="dxa"/>
            <w:left w:w="108" w:type="dxa"/>
            <w:bottom w:w="0" w:type="dxa"/>
            <w:right w:w="108" w:type="dxa"/>
          </w:tblCellMar>
        </w:tblPrEx>
        <w:trPr>
          <w:trHeight w:val="393" w:hRule="exact"/>
          <w:jc w:val="center"/>
        </w:trPr>
        <w:tc>
          <w:tcPr>
            <w:tcW w:w="701"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exact"/>
              <w:jc w:val="center"/>
              <w:textAlignment w:val="top"/>
              <w:rPr>
                <w:rFonts w:hint="eastAsia" w:ascii="宋体" w:hAnsi="宋体" w:cs="宋体"/>
                <w:color w:val="auto"/>
                <w:szCs w:val="21"/>
                <w:highlight w:val="none"/>
              </w:rPr>
            </w:pPr>
            <w:r>
              <w:rPr>
                <w:rFonts w:hint="eastAsia" w:ascii="宋体" w:hAnsi="宋体" w:cs="宋体"/>
                <w:color w:val="auto"/>
                <w:kern w:val="0"/>
                <w:sz w:val="24"/>
                <w:highlight w:val="none"/>
                <w:lang w:bidi="ar"/>
              </w:rPr>
              <w:t>2</w:t>
            </w:r>
          </w:p>
        </w:tc>
        <w:tc>
          <w:tcPr>
            <w:tcW w:w="4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hint="eastAsia" w:ascii="宋体" w:hAnsi="宋体" w:cs="宋体"/>
                <w:color w:val="auto"/>
                <w:szCs w:val="21"/>
                <w:highlight w:val="none"/>
              </w:rPr>
            </w:pPr>
            <w:r>
              <w:rPr>
                <w:rFonts w:hint="eastAsia" w:ascii="宋体" w:hAnsi="宋体" w:cs="宋体"/>
                <w:color w:val="auto"/>
                <w:kern w:val="0"/>
                <w:sz w:val="24"/>
                <w:highlight w:val="none"/>
                <w:lang w:bidi="ar"/>
              </w:rPr>
              <w:t>工程量清单</w:t>
            </w:r>
          </w:p>
        </w:tc>
      </w:tr>
      <w:tr>
        <w:tblPrEx>
          <w:tblCellMar>
            <w:top w:w="0" w:type="dxa"/>
            <w:left w:w="108" w:type="dxa"/>
            <w:bottom w:w="0" w:type="dxa"/>
            <w:right w:w="108" w:type="dxa"/>
          </w:tblCellMar>
        </w:tblPrEx>
        <w:trPr>
          <w:trHeight w:val="393" w:hRule="exact"/>
          <w:jc w:val="center"/>
        </w:trPr>
        <w:tc>
          <w:tcPr>
            <w:tcW w:w="701" w:type="pct"/>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exact"/>
              <w:jc w:val="center"/>
              <w:textAlignment w:val="top"/>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w:t>
            </w:r>
          </w:p>
        </w:tc>
        <w:tc>
          <w:tcPr>
            <w:tcW w:w="4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其他匹配本项目资料（若有）</w:t>
            </w:r>
          </w:p>
        </w:tc>
      </w:tr>
    </w:tbl>
    <w:p>
      <w:pPr>
        <w:pStyle w:val="22"/>
        <w:spacing w:line="360" w:lineRule="exact"/>
        <w:ind w:left="720" w:hanging="720" w:hangingChars="300"/>
        <w:jc w:val="both"/>
        <w:rPr>
          <w:rFonts w:hint="eastAsia" w:ascii="宋体" w:hAnsi="宋体" w:cs="宋体"/>
          <w:b w:val="0"/>
          <w:bCs w:val="0"/>
          <w:color w:val="auto"/>
          <w:sz w:val="24"/>
          <w:highlight w:val="none"/>
        </w:rPr>
      </w:pPr>
      <w:bookmarkStart w:id="45" w:name="_Toc26987"/>
      <w:bookmarkStart w:id="46" w:name="_Toc23612"/>
      <w:r>
        <w:rPr>
          <w:rFonts w:hint="eastAsia" w:ascii="宋体" w:hAnsi="宋体" w:cs="宋体"/>
          <w:b w:val="0"/>
          <w:bCs w:val="0"/>
          <w:color w:val="auto"/>
          <w:sz w:val="24"/>
          <w:highlight w:val="none"/>
        </w:rPr>
        <w:t>备注：1.上述采购内容涉及的范围：主要包含但不限于电梯拆除、电梯设备、电梯设备安装、匹配改造（含结构）、装饰装修恢复等涉及项目实施范围。</w:t>
      </w:r>
      <w:bookmarkEnd w:id="45"/>
      <w:bookmarkEnd w:id="46"/>
    </w:p>
    <w:p>
      <w:pPr>
        <w:pStyle w:val="22"/>
        <w:numPr>
          <w:ilvl w:val="255"/>
          <w:numId w:val="0"/>
        </w:numPr>
        <w:spacing w:line="360" w:lineRule="exact"/>
        <w:ind w:left="720" w:leftChars="343"/>
        <w:jc w:val="both"/>
        <w:rPr>
          <w:rFonts w:hint="eastAsia" w:ascii="宋体" w:hAnsi="宋体" w:eastAsia="宋体" w:cs="宋体"/>
          <w:b w:val="0"/>
          <w:bCs w:val="0"/>
          <w:color w:val="auto"/>
          <w:sz w:val="24"/>
          <w:highlight w:val="none"/>
          <w:lang w:eastAsia="zh-CN"/>
        </w:rPr>
      </w:pPr>
      <w:bookmarkStart w:id="47" w:name="_Toc22845"/>
      <w:bookmarkStart w:id="48" w:name="_Toc15181"/>
      <w:r>
        <w:rPr>
          <w:rFonts w:hint="eastAsia" w:ascii="宋体" w:hAnsi="宋体" w:cs="宋体"/>
          <w:b w:val="0"/>
          <w:bCs w:val="0"/>
          <w:color w:val="auto"/>
          <w:sz w:val="24"/>
          <w:highlight w:val="none"/>
        </w:rPr>
        <w:t>2.上述采购内容编制目标：工程量清单及</w:t>
      </w:r>
      <w:r>
        <w:rPr>
          <w:rFonts w:hint="eastAsia" w:ascii="宋体" w:hAnsi="宋体" w:cs="宋体"/>
          <w:b w:val="0"/>
          <w:bCs w:val="0"/>
          <w:color w:val="auto"/>
          <w:sz w:val="24"/>
          <w:highlight w:val="none"/>
          <w:lang w:eastAsia="zh-CN"/>
        </w:rPr>
        <w:t>最高投标限价</w:t>
      </w:r>
      <w:r>
        <w:rPr>
          <w:rFonts w:hint="eastAsia" w:ascii="宋体" w:hAnsi="宋体" w:cs="宋体"/>
          <w:b w:val="0"/>
          <w:bCs w:val="0"/>
          <w:color w:val="auto"/>
          <w:sz w:val="24"/>
          <w:highlight w:val="none"/>
        </w:rPr>
        <w:t>编制必须依法依规。</w:t>
      </w:r>
      <w:r>
        <w:rPr>
          <w:rFonts w:hint="eastAsia" w:ascii="宋体" w:hAnsi="宋体" w:cs="宋体"/>
          <w:b w:val="0"/>
          <w:bCs w:val="0"/>
          <w:color w:val="auto"/>
          <w:sz w:val="24"/>
          <w:highlight w:val="none"/>
          <w:lang w:val="en-US" w:eastAsia="zh-CN"/>
        </w:rPr>
        <w:t>工程量</w:t>
      </w:r>
      <w:r>
        <w:rPr>
          <w:rFonts w:hint="eastAsia" w:ascii="宋体" w:hAnsi="宋体" w:cs="宋体"/>
          <w:b w:val="0"/>
          <w:bCs w:val="0"/>
          <w:color w:val="auto"/>
          <w:sz w:val="24"/>
          <w:highlight w:val="none"/>
        </w:rPr>
        <w:t>清单和</w:t>
      </w:r>
      <w:r>
        <w:rPr>
          <w:rFonts w:hint="eastAsia" w:ascii="宋体" w:hAnsi="宋体" w:cs="宋体"/>
          <w:b w:val="0"/>
          <w:bCs w:val="0"/>
          <w:color w:val="auto"/>
          <w:sz w:val="24"/>
          <w:highlight w:val="none"/>
          <w:lang w:val="en-US" w:eastAsia="zh-CN"/>
        </w:rPr>
        <w:t>最高投标限价</w:t>
      </w:r>
      <w:r>
        <w:rPr>
          <w:rFonts w:hint="eastAsia" w:ascii="宋体" w:hAnsi="宋体" w:cs="宋体"/>
          <w:b w:val="0"/>
          <w:bCs w:val="0"/>
          <w:color w:val="auto"/>
          <w:sz w:val="24"/>
          <w:highlight w:val="none"/>
        </w:rPr>
        <w:t>范围明确</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齐全，避免漏项，价格准确可靠</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减小价格差异，具有较强的经济性和可实施性。满足招标、施工、验收、结算审核、决算审计等需求</w:t>
      </w:r>
      <w:bookmarkEnd w:id="47"/>
      <w:bookmarkEnd w:id="48"/>
      <w:r>
        <w:rPr>
          <w:rFonts w:hint="eastAsia" w:ascii="宋体" w:hAnsi="宋体" w:cs="宋体"/>
          <w:b w:val="0"/>
          <w:bCs w:val="0"/>
          <w:color w:val="auto"/>
          <w:sz w:val="24"/>
          <w:highlight w:val="none"/>
          <w:lang w:eastAsia="zh-CN"/>
        </w:rPr>
        <w:t>。</w:t>
      </w:r>
    </w:p>
    <w:p>
      <w:pPr>
        <w:pStyle w:val="22"/>
        <w:numPr>
          <w:ilvl w:val="255"/>
          <w:numId w:val="0"/>
        </w:numPr>
        <w:spacing w:line="360" w:lineRule="exact"/>
        <w:ind w:left="720" w:leftChars="343"/>
        <w:jc w:val="both"/>
        <w:rPr>
          <w:rFonts w:hint="eastAsia" w:ascii="宋体" w:hAnsi="宋体" w:cs="宋体"/>
          <w:b w:val="0"/>
          <w:bCs w:val="0"/>
          <w:color w:val="auto"/>
          <w:sz w:val="24"/>
          <w:highlight w:val="none"/>
        </w:rPr>
      </w:pPr>
      <w:bookmarkStart w:id="49" w:name="_Toc7052"/>
      <w:bookmarkStart w:id="50" w:name="_Toc27229"/>
      <w:r>
        <w:rPr>
          <w:rFonts w:hint="eastAsia" w:ascii="宋体" w:hAnsi="宋体" w:cs="宋体"/>
          <w:b w:val="0"/>
          <w:bCs w:val="0"/>
          <w:color w:val="auto"/>
          <w:sz w:val="24"/>
          <w:highlight w:val="none"/>
        </w:rPr>
        <w:t>3.上述采购内容编制配合：造价单位负责项目实施期间招标、施工、验收、结算、决算等项目涉及工程量清单及</w:t>
      </w:r>
      <w:r>
        <w:rPr>
          <w:rFonts w:hint="eastAsia" w:ascii="宋体" w:hAnsi="宋体" w:cs="宋体"/>
          <w:b w:val="0"/>
          <w:bCs w:val="0"/>
          <w:color w:val="auto"/>
          <w:sz w:val="24"/>
          <w:highlight w:val="none"/>
          <w:lang w:eastAsia="zh-CN"/>
        </w:rPr>
        <w:t>最高投标限价</w:t>
      </w:r>
      <w:r>
        <w:rPr>
          <w:rFonts w:hint="eastAsia" w:ascii="宋体" w:hAnsi="宋体" w:cs="宋体"/>
          <w:b w:val="0"/>
          <w:bCs w:val="0"/>
          <w:color w:val="auto"/>
          <w:sz w:val="24"/>
          <w:highlight w:val="none"/>
        </w:rPr>
        <w:t>的配合工作，并对合规性和可实施性予以验证整改。采购方对工程量清单及</w:t>
      </w:r>
      <w:r>
        <w:rPr>
          <w:rFonts w:hint="eastAsia" w:ascii="宋体" w:hAnsi="宋体" w:cs="宋体"/>
          <w:b w:val="0"/>
          <w:bCs w:val="0"/>
          <w:color w:val="auto"/>
          <w:sz w:val="24"/>
          <w:highlight w:val="none"/>
          <w:lang w:eastAsia="zh-CN"/>
        </w:rPr>
        <w:t>最高投标限价</w:t>
      </w:r>
      <w:r>
        <w:rPr>
          <w:rFonts w:hint="eastAsia" w:ascii="宋体" w:hAnsi="宋体" w:cs="宋体"/>
          <w:b w:val="0"/>
          <w:bCs w:val="0"/>
          <w:color w:val="auto"/>
          <w:sz w:val="24"/>
          <w:highlight w:val="none"/>
        </w:rPr>
        <w:t>有异议的，造价咨询单位予以解释。对于采购方提出的合法合规的建议予以依法依规修订，确保经济性和可实施性。由于</w:t>
      </w:r>
      <w:r>
        <w:rPr>
          <w:rFonts w:hint="eastAsia" w:ascii="宋体" w:hAnsi="宋体" w:cs="宋体"/>
          <w:b w:val="0"/>
          <w:bCs w:val="0"/>
          <w:color w:val="auto"/>
          <w:sz w:val="24"/>
          <w:highlight w:val="none"/>
          <w:lang w:val="en-US" w:eastAsia="zh-CN"/>
        </w:rPr>
        <w:t>工程量</w:t>
      </w:r>
      <w:r>
        <w:rPr>
          <w:rFonts w:hint="eastAsia" w:ascii="宋体" w:hAnsi="宋体" w:cs="宋体"/>
          <w:b w:val="0"/>
          <w:bCs w:val="0"/>
          <w:color w:val="auto"/>
          <w:sz w:val="24"/>
          <w:highlight w:val="none"/>
        </w:rPr>
        <w:t>清单编制和</w:t>
      </w:r>
      <w:r>
        <w:rPr>
          <w:rFonts w:hint="eastAsia" w:ascii="宋体" w:hAnsi="宋体" w:cs="宋体"/>
          <w:b w:val="0"/>
          <w:bCs w:val="0"/>
          <w:color w:val="auto"/>
          <w:sz w:val="24"/>
          <w:highlight w:val="none"/>
          <w:lang w:val="en-US" w:eastAsia="zh-CN"/>
        </w:rPr>
        <w:t>最高投标限价</w:t>
      </w:r>
      <w:r>
        <w:rPr>
          <w:rFonts w:hint="eastAsia" w:ascii="宋体" w:hAnsi="宋体" w:cs="宋体"/>
          <w:b w:val="0"/>
          <w:bCs w:val="0"/>
          <w:color w:val="auto"/>
          <w:sz w:val="24"/>
          <w:highlight w:val="none"/>
        </w:rPr>
        <w:t>的原因导致招标流标的，造价单位负责工程量清单及</w:t>
      </w:r>
      <w:r>
        <w:rPr>
          <w:rFonts w:hint="eastAsia" w:ascii="宋体" w:hAnsi="宋体" w:cs="宋体"/>
          <w:b w:val="0"/>
          <w:bCs w:val="0"/>
          <w:color w:val="auto"/>
          <w:sz w:val="24"/>
          <w:highlight w:val="none"/>
          <w:lang w:eastAsia="zh-CN"/>
        </w:rPr>
        <w:t>最高投标限价</w:t>
      </w:r>
      <w:r>
        <w:rPr>
          <w:rFonts w:hint="eastAsia" w:ascii="宋体" w:hAnsi="宋体" w:cs="宋体"/>
          <w:b w:val="0"/>
          <w:bCs w:val="0"/>
          <w:color w:val="auto"/>
          <w:sz w:val="24"/>
          <w:highlight w:val="none"/>
        </w:rPr>
        <w:t>的核查修订，满足招标要求。</w:t>
      </w:r>
      <w:bookmarkEnd w:id="49"/>
      <w:bookmarkEnd w:id="50"/>
    </w:p>
    <w:p>
      <w:pPr>
        <w:pStyle w:val="22"/>
        <w:spacing w:line="360" w:lineRule="exact"/>
        <w:ind w:firstLine="720" w:firstLineChars="300"/>
        <w:jc w:val="both"/>
        <w:rPr>
          <w:rFonts w:hint="eastAsia" w:ascii="宋体" w:hAnsi="宋体" w:cs="宋体"/>
          <w:color w:val="auto"/>
          <w:sz w:val="24"/>
          <w:highlight w:val="none"/>
        </w:rPr>
      </w:pPr>
      <w:bookmarkStart w:id="51" w:name="_Toc2719"/>
      <w:bookmarkStart w:id="52" w:name="_Toc18870"/>
      <w:r>
        <w:rPr>
          <w:rFonts w:hint="eastAsia" w:ascii="宋体" w:hAnsi="宋体" w:cs="宋体"/>
          <w:b w:val="0"/>
          <w:bCs w:val="0"/>
          <w:color w:val="auto"/>
          <w:sz w:val="24"/>
          <w:highlight w:val="none"/>
        </w:rPr>
        <w:t>4.上述采购内容均须符合相关技术规范及审核要求。</w:t>
      </w:r>
      <w:bookmarkEnd w:id="51"/>
      <w:bookmarkEnd w:id="52"/>
      <w:r>
        <w:rPr>
          <w:rFonts w:hint="eastAsia" w:ascii="宋体" w:hAnsi="宋体" w:cs="宋体"/>
          <w:b w:val="0"/>
          <w:bCs w:val="0"/>
          <w:color w:val="auto"/>
          <w:sz w:val="24"/>
          <w:highlight w:val="none"/>
        </w:rPr>
        <w:t xml:space="preserve">   </w:t>
      </w:r>
      <w:r>
        <w:rPr>
          <w:rFonts w:hint="eastAsia" w:ascii="宋体" w:hAnsi="宋体" w:cs="宋体"/>
          <w:color w:val="auto"/>
          <w:sz w:val="24"/>
          <w:highlight w:val="none"/>
        </w:rPr>
        <w:t xml:space="preserve"> </w:t>
      </w:r>
    </w:p>
    <w:p>
      <w:pPr>
        <w:pStyle w:val="22"/>
        <w:spacing w:line="360" w:lineRule="exact"/>
        <w:ind w:left="718" w:leftChars="342"/>
        <w:rPr>
          <w:rFonts w:hint="eastAsia" w:ascii="宋体" w:hAnsi="宋体" w:cs="宋体"/>
          <w:color w:val="auto"/>
          <w:highlight w:val="none"/>
        </w:rPr>
      </w:pPr>
      <w:r>
        <w:rPr>
          <w:rFonts w:hint="eastAsia" w:ascii="宋体" w:hAnsi="宋体" w:cs="宋体"/>
          <w:color w:val="auto"/>
          <w:sz w:val="24"/>
          <w:highlight w:val="none"/>
        </w:rPr>
        <w:br w:type="page"/>
      </w:r>
      <w:bookmarkStart w:id="53" w:name="_Toc8485"/>
      <w:bookmarkStart w:id="54" w:name="_Toc26850"/>
      <w:bookmarkStart w:id="55" w:name="_Toc13714"/>
      <w:bookmarkStart w:id="56" w:name="_Toc5626"/>
      <w:bookmarkStart w:id="57" w:name="_Toc94213286"/>
      <w:r>
        <w:rPr>
          <w:rFonts w:hint="eastAsia" w:ascii="宋体" w:hAnsi="宋体" w:cs="宋体"/>
          <w:color w:val="auto"/>
          <w:highlight w:val="none"/>
        </w:rPr>
        <w:t>第五章  响应文件格式</w:t>
      </w:r>
      <w:bookmarkEnd w:id="53"/>
      <w:bookmarkEnd w:id="54"/>
      <w:bookmarkEnd w:id="55"/>
      <w:bookmarkEnd w:id="56"/>
      <w:bookmarkEnd w:id="57"/>
    </w:p>
    <w:p>
      <w:pPr>
        <w:tabs>
          <w:tab w:val="left" w:pos="7665"/>
        </w:tabs>
        <w:spacing w:line="360" w:lineRule="exact"/>
        <w:ind w:firstLine="480"/>
        <w:rPr>
          <w:rFonts w:hint="eastAsia" w:ascii="宋体" w:hAnsi="宋体" w:cs="宋体"/>
          <w:bCs/>
          <w:color w:val="auto"/>
          <w:sz w:val="24"/>
          <w:highlight w:val="none"/>
        </w:rPr>
      </w:pPr>
    </w:p>
    <w:p>
      <w:pPr>
        <w:spacing w:line="360" w:lineRule="exact"/>
        <w:rPr>
          <w:rFonts w:hint="eastAsia" w:ascii="宋体" w:hAnsi="宋体" w:cs="宋体"/>
          <w:b/>
          <w:color w:val="auto"/>
          <w:sz w:val="32"/>
          <w:szCs w:val="32"/>
          <w:highlight w:val="none"/>
        </w:rPr>
      </w:pPr>
    </w:p>
    <w:p>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xml:space="preserve">    一、本章</w:t>
      </w:r>
      <w:r>
        <w:rPr>
          <w:rFonts w:hint="eastAsia" w:ascii="宋体" w:hAnsi="宋体" w:cs="宋体"/>
          <w:color w:val="auto"/>
          <w:sz w:val="24"/>
          <w:highlight w:val="none"/>
          <w:lang w:eastAsia="zh-CN"/>
        </w:rPr>
        <w:t>所制</w:t>
      </w:r>
      <w:r>
        <w:rPr>
          <w:rFonts w:hint="eastAsia" w:ascii="宋体" w:hAnsi="宋体" w:cs="宋体"/>
          <w:color w:val="auto"/>
          <w:sz w:val="24"/>
          <w:highlight w:val="none"/>
        </w:rPr>
        <w:t xml:space="preserve">响应文件格式，除格式中明确将该格式作为实质性要求的，一律不具有强制性。 </w:t>
      </w:r>
    </w:p>
    <w:p>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xml:space="preserve">    二、本章所制响应文件格式有关表格中的备注栏，由供应商根据自身响应情况作解释性说明，不作为必填项。</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spacing w:line="360" w:lineRule="exact"/>
        <w:jc w:val="center"/>
        <w:rPr>
          <w:rFonts w:hint="eastAsia" w:ascii="宋体" w:hAnsi="宋体" w:cs="宋体"/>
          <w:color w:val="auto"/>
          <w:sz w:val="24"/>
          <w:highlight w:val="none"/>
        </w:rPr>
        <w:sectPr>
          <w:footerReference r:id="rId6" w:type="first"/>
          <w:headerReference r:id="rId3" w:type="default"/>
          <w:footerReference r:id="rId4" w:type="default"/>
          <w:footerReference r:id="rId5" w:type="even"/>
          <w:pgSz w:w="11907" w:h="16840"/>
          <w:pgMar w:top="1440" w:right="1800" w:bottom="1440" w:left="1800" w:header="851" w:footer="992" w:gutter="0"/>
          <w:pgNumType w:fmt="decimal"/>
          <w:cols w:space="425" w:num="1"/>
          <w:docGrid w:linePitch="312" w:charSpace="0"/>
        </w:sectPr>
      </w:pPr>
    </w:p>
    <w:p>
      <w:pPr>
        <w:spacing w:line="360" w:lineRule="exact"/>
        <w:jc w:val="center"/>
        <w:outlineLvl w:val="1"/>
        <w:rPr>
          <w:rFonts w:hint="eastAsia" w:ascii="宋体" w:hAnsi="宋体" w:cs="宋体"/>
          <w:b/>
          <w:color w:val="auto"/>
          <w:sz w:val="32"/>
          <w:szCs w:val="32"/>
          <w:highlight w:val="none"/>
        </w:rPr>
      </w:pPr>
      <w:r>
        <w:rPr>
          <w:rFonts w:hint="eastAsia" w:ascii="宋体" w:hAnsi="宋体" w:cs="宋体"/>
          <w:color w:val="auto"/>
          <w:sz w:val="24"/>
          <w:highlight w:val="none"/>
        </w:rPr>
        <w:br w:type="page"/>
      </w:r>
    </w:p>
    <w:p>
      <w:pPr>
        <w:spacing w:line="920" w:lineRule="exact"/>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封面：</w:t>
      </w:r>
    </w:p>
    <w:p>
      <w:pPr>
        <w:spacing w:line="920" w:lineRule="exact"/>
        <w:jc w:val="center"/>
        <w:rPr>
          <w:rFonts w:hint="eastAsia" w:ascii="宋体" w:hAnsi="宋体" w:cs="宋体"/>
          <w:b/>
          <w:color w:val="auto"/>
          <w:sz w:val="32"/>
          <w:szCs w:val="32"/>
          <w:highlight w:val="none"/>
        </w:rPr>
      </w:pPr>
    </w:p>
    <w:p>
      <w:pPr>
        <w:spacing w:line="920" w:lineRule="exact"/>
        <w:jc w:val="right"/>
        <w:rPr>
          <w:rFonts w:hint="eastAsia" w:ascii="宋体" w:hAnsi="宋体" w:cs="宋体"/>
          <w:b/>
          <w:color w:val="auto"/>
          <w:sz w:val="36"/>
          <w:highlight w:val="none"/>
        </w:rPr>
      </w:pPr>
      <w:r>
        <w:rPr>
          <w:rFonts w:hint="eastAsia" w:ascii="宋体" w:hAnsi="宋体" w:cs="宋体"/>
          <w:b/>
          <w:color w:val="auto"/>
          <w:sz w:val="36"/>
          <w:highlight w:val="none"/>
        </w:rPr>
        <w:t>（正本/副本）</w:t>
      </w:r>
    </w:p>
    <w:p>
      <w:pPr>
        <w:spacing w:line="920" w:lineRule="exact"/>
        <w:rPr>
          <w:rFonts w:hint="eastAsia" w:ascii="宋体" w:hAnsi="宋体" w:cs="宋体"/>
          <w:b/>
          <w:color w:val="auto"/>
          <w:sz w:val="72"/>
          <w:highlight w:val="none"/>
        </w:rPr>
      </w:pPr>
    </w:p>
    <w:p>
      <w:pPr>
        <w:spacing w:line="920" w:lineRule="exact"/>
        <w:jc w:val="center"/>
        <w:rPr>
          <w:rFonts w:hint="eastAsia" w:ascii="宋体" w:hAnsi="宋体" w:cs="宋体"/>
          <w:b/>
          <w:color w:val="auto"/>
          <w:sz w:val="40"/>
          <w:szCs w:val="48"/>
          <w:highlight w:val="none"/>
          <w:u w:val="single"/>
        </w:rPr>
      </w:pPr>
      <w:r>
        <w:rPr>
          <w:rFonts w:hint="eastAsia" w:ascii="宋体" w:hAnsi="宋体" w:cs="宋体"/>
          <w:b/>
          <w:color w:val="auto"/>
          <w:sz w:val="40"/>
          <w:szCs w:val="48"/>
          <w:highlight w:val="none"/>
          <w:u w:val="single"/>
        </w:rPr>
        <w:t>新良大厦1-4号电梯更新改造项目</w:t>
      </w:r>
    </w:p>
    <w:p>
      <w:pPr>
        <w:spacing w:line="920" w:lineRule="exact"/>
        <w:jc w:val="center"/>
        <w:rPr>
          <w:rFonts w:hint="eastAsia" w:ascii="宋体" w:hAnsi="宋体" w:cs="宋体"/>
          <w:b/>
          <w:color w:val="auto"/>
          <w:sz w:val="72"/>
          <w:highlight w:val="none"/>
        </w:rPr>
      </w:pPr>
      <w:r>
        <w:rPr>
          <w:rFonts w:hint="eastAsia" w:ascii="宋体" w:hAnsi="宋体" w:cs="宋体"/>
          <w:b/>
          <w:color w:val="auto"/>
          <w:sz w:val="40"/>
          <w:szCs w:val="48"/>
          <w:highlight w:val="none"/>
          <w:u w:val="single"/>
        </w:rPr>
        <w:t>工程造价咨询服务采购</w:t>
      </w:r>
      <w:r>
        <w:rPr>
          <w:rFonts w:hint="eastAsia" w:ascii="宋体" w:hAnsi="宋体" w:cs="宋体"/>
          <w:b/>
          <w:color w:val="auto"/>
          <w:sz w:val="40"/>
          <w:szCs w:val="48"/>
          <w:highlight w:val="none"/>
        </w:rPr>
        <w:t>项目</w:t>
      </w:r>
    </w:p>
    <w:p>
      <w:pPr>
        <w:spacing w:line="920" w:lineRule="exact"/>
        <w:rPr>
          <w:rFonts w:hint="eastAsia" w:ascii="宋体" w:hAnsi="宋体" w:cs="宋体"/>
          <w:b/>
          <w:color w:val="auto"/>
          <w:sz w:val="52"/>
          <w:szCs w:val="52"/>
          <w:highlight w:val="none"/>
        </w:rPr>
      </w:pPr>
    </w:p>
    <w:p>
      <w:pPr>
        <w:spacing w:line="920" w:lineRule="exact"/>
        <w:jc w:val="center"/>
        <w:rPr>
          <w:rFonts w:hint="eastAsia" w:ascii="宋体" w:hAnsi="宋体" w:cs="宋体"/>
          <w:b/>
          <w:color w:val="auto"/>
          <w:sz w:val="32"/>
          <w:szCs w:val="32"/>
          <w:highlight w:val="none"/>
        </w:rPr>
      </w:pPr>
      <w:r>
        <w:rPr>
          <w:rFonts w:hint="eastAsia" w:ascii="宋体" w:hAnsi="宋体" w:cs="宋体"/>
          <w:b/>
          <w:color w:val="auto"/>
          <w:sz w:val="52"/>
          <w:szCs w:val="52"/>
          <w:highlight w:val="none"/>
        </w:rPr>
        <w:t>响应文件</w:t>
      </w:r>
    </w:p>
    <w:p>
      <w:pPr>
        <w:spacing w:line="920" w:lineRule="exact"/>
        <w:rPr>
          <w:rFonts w:hint="eastAsia" w:ascii="宋体" w:hAnsi="宋体" w:cs="宋体"/>
          <w:b/>
          <w:color w:val="auto"/>
          <w:sz w:val="36"/>
          <w:highlight w:val="none"/>
        </w:rPr>
      </w:pPr>
    </w:p>
    <w:p>
      <w:pPr>
        <w:spacing w:line="920" w:lineRule="exact"/>
        <w:rPr>
          <w:rFonts w:hint="eastAsia" w:ascii="宋体" w:hAnsi="宋体" w:cs="宋体"/>
          <w:b/>
          <w:color w:val="auto"/>
          <w:sz w:val="36"/>
          <w:highlight w:val="none"/>
        </w:rPr>
      </w:pPr>
    </w:p>
    <w:p>
      <w:pPr>
        <w:spacing w:line="920" w:lineRule="exact"/>
        <w:ind w:firstLine="643" w:firstLineChars="200"/>
        <w:jc w:val="left"/>
        <w:rPr>
          <w:rFonts w:hint="eastAsia" w:ascii="宋体" w:hAnsi="宋体" w:cs="宋体"/>
          <w:b/>
          <w:color w:val="auto"/>
          <w:sz w:val="32"/>
          <w:highlight w:val="none"/>
        </w:rPr>
      </w:pPr>
      <w:r>
        <w:rPr>
          <w:rFonts w:hint="eastAsia" w:ascii="宋体" w:hAnsi="宋体" w:cs="宋体"/>
          <w:b/>
          <w:color w:val="auto"/>
          <w:sz w:val="32"/>
          <w:highlight w:val="none"/>
        </w:rPr>
        <w:t>供应商名称：</w:t>
      </w:r>
    </w:p>
    <w:p>
      <w:pPr>
        <w:spacing w:line="920" w:lineRule="exact"/>
        <w:ind w:firstLine="643" w:firstLineChars="200"/>
        <w:jc w:val="left"/>
        <w:rPr>
          <w:rFonts w:hint="eastAsia" w:ascii="宋体" w:hAnsi="宋体" w:cs="宋体"/>
          <w:b/>
          <w:color w:val="auto"/>
          <w:sz w:val="32"/>
          <w:highlight w:val="none"/>
        </w:rPr>
      </w:pPr>
      <w:r>
        <w:rPr>
          <w:rFonts w:hint="eastAsia" w:ascii="宋体" w:hAnsi="宋体" w:cs="宋体"/>
          <w:b/>
          <w:color w:val="auto"/>
          <w:sz w:val="32"/>
          <w:highlight w:val="none"/>
        </w:rPr>
        <w:t>采购项目编号：</w:t>
      </w:r>
    </w:p>
    <w:p>
      <w:pPr>
        <w:spacing w:line="920" w:lineRule="exact"/>
        <w:rPr>
          <w:rFonts w:hint="eastAsia" w:ascii="宋体" w:hAnsi="宋体" w:cs="宋体"/>
          <w:b/>
          <w:color w:val="auto"/>
          <w:sz w:val="36"/>
          <w:highlight w:val="none"/>
        </w:rPr>
      </w:pPr>
    </w:p>
    <w:p>
      <w:pPr>
        <w:spacing w:line="920" w:lineRule="exact"/>
        <w:jc w:val="center"/>
        <w:rPr>
          <w:rFonts w:hint="eastAsia" w:ascii="宋体" w:hAnsi="宋体" w:cs="宋体"/>
          <w:b/>
          <w:bCs/>
          <w:color w:val="auto"/>
          <w:sz w:val="32"/>
          <w:szCs w:val="32"/>
          <w:highlight w:val="none"/>
        </w:rPr>
      </w:pPr>
      <w:r>
        <w:rPr>
          <w:rFonts w:hint="eastAsia" w:ascii="宋体" w:hAnsi="宋体" w:cs="宋体"/>
          <w:b/>
          <w:color w:val="auto"/>
          <w:sz w:val="32"/>
          <w:highlight w:val="none"/>
        </w:rPr>
        <w:t>日期 ：</w:t>
      </w:r>
      <w:r>
        <w:rPr>
          <w:rFonts w:hint="eastAsia" w:ascii="宋体" w:hAnsi="宋体" w:cs="宋体"/>
          <w:b/>
          <w:color w:val="auto"/>
          <w:sz w:val="32"/>
          <w:highlight w:val="none"/>
          <w:lang w:eastAsia="zh-CN"/>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lang w:eastAsia="zh-CN"/>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lang w:eastAsia="zh-CN"/>
        </w:rPr>
        <w:t xml:space="preserve">   </w:t>
      </w:r>
      <w:r>
        <w:rPr>
          <w:rFonts w:hint="eastAsia" w:ascii="宋体" w:hAnsi="宋体" w:cs="宋体"/>
          <w:b/>
          <w:color w:val="auto"/>
          <w:sz w:val="32"/>
          <w:highlight w:val="none"/>
        </w:rPr>
        <w:t>日</w:t>
      </w:r>
    </w:p>
    <w:p>
      <w:pPr>
        <w:widowControl/>
        <w:spacing w:line="920" w:lineRule="exact"/>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pPr>
        <w:spacing w:line="360" w:lineRule="exac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格式1</w:t>
      </w:r>
    </w:p>
    <w:p>
      <w:pPr>
        <w:widowControl/>
        <w:spacing w:line="360" w:lineRule="exact"/>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法定代表人/单位负责人授权书</w:t>
      </w:r>
    </w:p>
    <w:p>
      <w:pPr>
        <w:pStyle w:val="55"/>
        <w:spacing w:line="360" w:lineRule="exact"/>
        <w:ind w:firstLine="480"/>
        <w:rPr>
          <w:rFonts w:hint="eastAsia" w:ascii="宋体" w:hAnsi="宋体" w:eastAsia="宋体" w:cs="宋体"/>
          <w:color w:val="auto"/>
          <w:highlight w:val="none"/>
        </w:rPr>
      </w:pPr>
    </w:p>
    <w:p>
      <w:pPr>
        <w:pStyle w:val="55"/>
        <w:spacing w:line="360" w:lineRule="exact"/>
        <w:ind w:firstLine="480"/>
        <w:rPr>
          <w:rFonts w:hint="eastAsia" w:ascii="宋体" w:hAnsi="宋体" w:eastAsia="宋体" w:cs="宋体"/>
          <w:color w:val="auto"/>
          <w:highlight w:val="none"/>
        </w:rPr>
      </w:pPr>
    </w:p>
    <w:p>
      <w:pPr>
        <w:widowControl/>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四川新良大厦有限责任公司：</w:t>
      </w: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 xml:space="preserve">本授权声明：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（法定代表人/单位负责人姓名、职务）授权</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（被授权人姓名、职务）为我方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 项目（采购项目编号：</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）询价采购活动的合法代表，以我方名义全权处理该项目有关询价采购、签订合同以及执行合同等一切事宜。</w:t>
      </w: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特此声明。</w:t>
      </w:r>
    </w:p>
    <w:p>
      <w:pPr>
        <w:pStyle w:val="55"/>
        <w:spacing w:line="360" w:lineRule="exact"/>
        <w:ind w:firstLine="480"/>
        <w:rPr>
          <w:rFonts w:hint="eastAsia" w:ascii="宋体" w:hAnsi="宋体" w:eastAsia="宋体" w:cs="宋体"/>
          <w:color w:val="auto"/>
          <w:highlight w:val="none"/>
        </w:rPr>
      </w:pP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法定代表人/单位负责人（采购人）签字或加盖个人印章：</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w:t>
      </w:r>
    </w:p>
    <w:p>
      <w:pPr>
        <w:pStyle w:val="55"/>
        <w:spacing w:line="360" w:lineRule="exact"/>
        <w:ind w:firstLine="480"/>
        <w:rPr>
          <w:rFonts w:hint="eastAsia" w:ascii="宋体" w:hAnsi="宋体" w:eastAsia="宋体" w:cs="宋体"/>
          <w:color w:val="auto"/>
          <w:highlight w:val="none"/>
        </w:rPr>
      </w:pP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授权代表（被授权人）签字：</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w:t>
      </w:r>
    </w:p>
    <w:p>
      <w:pPr>
        <w:pStyle w:val="55"/>
        <w:spacing w:line="360" w:lineRule="exact"/>
        <w:ind w:firstLine="480"/>
        <w:rPr>
          <w:rFonts w:hint="eastAsia" w:ascii="宋体" w:hAnsi="宋体" w:eastAsia="宋体" w:cs="宋体"/>
          <w:color w:val="auto"/>
          <w:highlight w:val="none"/>
        </w:rPr>
      </w:pP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（单位盖章）。</w:t>
      </w: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w:t>
      </w:r>
    </w:p>
    <w:p>
      <w:pPr>
        <w:pStyle w:val="55"/>
        <w:spacing w:line="360" w:lineRule="exact"/>
        <w:ind w:firstLine="480"/>
        <w:rPr>
          <w:rFonts w:hint="eastAsia" w:ascii="宋体" w:hAnsi="宋体" w:eastAsia="宋体" w:cs="宋体"/>
          <w:color w:val="auto"/>
          <w:highlight w:val="none"/>
        </w:rPr>
      </w:pPr>
      <w:bookmarkStart w:id="58" w:name="_Toc217446084"/>
    </w:p>
    <w:p>
      <w:pPr>
        <w:pStyle w:val="55"/>
        <w:spacing w:line="360" w:lineRule="exact"/>
        <w:ind w:firstLine="480"/>
        <w:rPr>
          <w:rFonts w:hint="eastAsia" w:ascii="宋体" w:hAnsi="宋体" w:eastAsia="宋体" w:cs="宋体"/>
          <w:color w:val="auto"/>
          <w:highlight w:val="none"/>
        </w:rPr>
      </w:pPr>
    </w:p>
    <w:p>
      <w:pPr>
        <w:pStyle w:val="55"/>
        <w:spacing w:line="360" w:lineRule="exact"/>
        <w:ind w:firstLine="480"/>
        <w:rPr>
          <w:rFonts w:hint="eastAsia" w:ascii="宋体" w:hAnsi="宋体" w:eastAsia="宋体" w:cs="宋体"/>
          <w:color w:val="auto"/>
          <w:highlight w:val="none"/>
        </w:rPr>
      </w:pPr>
    </w:p>
    <w:p>
      <w:pPr>
        <w:pStyle w:val="55"/>
        <w:spacing w:line="360" w:lineRule="exact"/>
        <w:ind w:firstLine="480"/>
        <w:rPr>
          <w:rFonts w:hint="eastAsia" w:ascii="宋体" w:hAnsi="宋体" w:eastAsia="宋体" w:cs="宋体"/>
          <w:color w:val="auto"/>
          <w:highlight w:val="none"/>
        </w:rPr>
      </w:pPr>
    </w:p>
    <w:p>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注：</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1.供应商为法人单位时提供“法定代表人授权书”，供应商为其他组织时提供“单位负责人授权书”，不接受自然人供应商报名。</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2.应附法定代表人/单位负责人身份证明材料复印件和授权代表身份证明材料复印件。</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3.身份证明材料包括居民身份证或户口本或军官证或护照等。</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4.身份证明材料应同时提供其在有效期的材料，如居民身份证正、反面复印件。</w:t>
      </w:r>
    </w:p>
    <w:p>
      <w:pPr>
        <w:pStyle w:val="55"/>
        <w:spacing w:line="360" w:lineRule="exact"/>
        <w:ind w:firstLine="480"/>
        <w:rPr>
          <w:rFonts w:hint="eastAsia" w:ascii="宋体" w:hAnsi="宋体" w:eastAsia="宋体" w:cs="宋体"/>
          <w:color w:val="auto"/>
          <w:highlight w:val="none"/>
        </w:rPr>
      </w:pPr>
    </w:p>
    <w:bookmarkEnd w:id="58"/>
    <w:p>
      <w:pPr>
        <w:spacing w:line="360" w:lineRule="exact"/>
        <w:ind w:firstLine="790" w:firstLineChars="246"/>
        <w:jc w:val="center"/>
        <w:rPr>
          <w:rFonts w:hint="eastAsia" w:ascii="宋体" w:hAnsi="宋体" w:cs="宋体"/>
          <w:b/>
          <w:color w:val="auto"/>
          <w:sz w:val="32"/>
          <w:highlight w:val="none"/>
        </w:rPr>
      </w:pPr>
    </w:p>
    <w:p>
      <w:pPr>
        <w:spacing w:line="360" w:lineRule="exact"/>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格式2</w:t>
      </w:r>
    </w:p>
    <w:p>
      <w:pPr>
        <w:widowControl/>
        <w:spacing w:line="360" w:lineRule="exact"/>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承诺函</w:t>
      </w:r>
    </w:p>
    <w:p>
      <w:pPr>
        <w:pStyle w:val="55"/>
        <w:spacing w:line="360" w:lineRule="exact"/>
        <w:ind w:firstLine="480"/>
        <w:rPr>
          <w:rFonts w:hint="eastAsia" w:ascii="宋体" w:hAnsi="宋体" w:eastAsia="宋体" w:cs="宋体"/>
          <w:color w:val="auto"/>
          <w:highlight w:val="none"/>
        </w:rPr>
      </w:pPr>
    </w:p>
    <w:p>
      <w:pPr>
        <w:widowControl/>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四川新良大厦有限责任公司：</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我单位作为本次采购项目的供应商，根据询价通知书要求，现郑重承诺如下：</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2.具备良好商业信誉的证明材料；</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4.具有依法缴纳税收和社会保障资金的良好记录；</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5.具备履行合同所必需的设备和专业技术能力的证明材料；</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6.参加</w:t>
      </w:r>
      <w:r>
        <w:rPr>
          <w:rFonts w:hint="eastAsia" w:ascii="宋体" w:hAnsi="宋体" w:cs="宋体"/>
          <w:color w:val="auto"/>
          <w:sz w:val="24"/>
          <w:highlight w:val="none"/>
          <w:lang w:val="en-US" w:eastAsia="zh-CN"/>
        </w:rPr>
        <w:t>本次</w:t>
      </w:r>
      <w:r>
        <w:rPr>
          <w:rFonts w:hint="eastAsia" w:ascii="宋体" w:hAnsi="宋体" w:cs="宋体"/>
          <w:color w:val="auto"/>
          <w:sz w:val="24"/>
          <w:highlight w:val="none"/>
        </w:rPr>
        <w:t>采购活动前</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近</w:t>
      </w:r>
      <w:r>
        <w:rPr>
          <w:rFonts w:hint="eastAsia" w:ascii="宋体" w:hAnsi="宋体" w:cs="宋体"/>
          <w:color w:val="auto"/>
          <w:sz w:val="24"/>
          <w:highlight w:val="none"/>
        </w:rPr>
        <w:t>3年内在经营活动中没有重大违法记录；</w:t>
      </w:r>
    </w:p>
    <w:p>
      <w:pPr>
        <w:widowControl/>
        <w:spacing w:line="3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7.具备法律、行政法规规定的其他条件的证明材料；</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本单位对上述承诺的内容事项真实性负责。如经查实上述承诺的内容事项存在虚假，我单位愿意接受以提供虚假材料谋取成交追究法律责任。</w:t>
      </w:r>
    </w:p>
    <w:p>
      <w:pPr>
        <w:pStyle w:val="55"/>
        <w:spacing w:line="360" w:lineRule="exact"/>
        <w:ind w:firstLine="480"/>
        <w:rPr>
          <w:rFonts w:hint="eastAsia" w:ascii="宋体" w:hAnsi="宋体" w:eastAsia="宋体" w:cs="宋体"/>
          <w:color w:val="auto"/>
          <w:highlight w:val="none"/>
        </w:rPr>
      </w:pP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（单位公章）。</w:t>
      </w: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法定代表人/单位负责人或授权代表（签字或加盖个人印章）：</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w:t>
      </w: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w:t>
      </w:r>
    </w:p>
    <w:p>
      <w:pPr>
        <w:spacing w:line="360" w:lineRule="exact"/>
        <w:rPr>
          <w:rFonts w:hint="eastAsia" w:ascii="宋体" w:hAnsi="宋体" w:cs="宋体"/>
          <w:b/>
          <w:color w:val="auto"/>
          <w:sz w:val="32"/>
          <w:szCs w:val="32"/>
          <w:highlight w:val="none"/>
        </w:rPr>
      </w:pPr>
      <w:r>
        <w:rPr>
          <w:rFonts w:hint="eastAsia" w:ascii="宋体" w:hAnsi="宋体" w:cs="宋体"/>
          <w:color w:val="auto"/>
          <w:sz w:val="24"/>
          <w:highlight w:val="none"/>
        </w:rPr>
        <w:br w:type="page"/>
      </w:r>
    </w:p>
    <w:p>
      <w:pPr>
        <w:spacing w:line="360" w:lineRule="exact"/>
        <w:rPr>
          <w:rFonts w:hint="eastAsia" w:ascii="宋体" w:hAnsi="宋体" w:cs="宋体"/>
          <w:b/>
          <w:color w:val="auto"/>
          <w:sz w:val="32"/>
          <w:szCs w:val="32"/>
          <w:highlight w:val="none"/>
        </w:rPr>
      </w:pPr>
      <w:bookmarkStart w:id="59" w:name="_Toc308164824"/>
      <w:r>
        <w:rPr>
          <w:rFonts w:hint="eastAsia" w:ascii="宋体" w:hAnsi="宋体" w:cs="宋体"/>
          <w:b/>
          <w:color w:val="auto"/>
          <w:sz w:val="32"/>
          <w:szCs w:val="32"/>
          <w:highlight w:val="none"/>
        </w:rPr>
        <w:t>格式3</w:t>
      </w:r>
    </w:p>
    <w:p>
      <w:pPr>
        <w:widowControl/>
        <w:spacing w:line="360" w:lineRule="exact"/>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响应函</w:t>
      </w:r>
    </w:p>
    <w:p>
      <w:pPr>
        <w:spacing w:line="360" w:lineRule="exact"/>
        <w:rPr>
          <w:rFonts w:hint="eastAsia" w:ascii="宋体" w:hAnsi="宋体" w:cs="宋体"/>
          <w:color w:val="auto"/>
          <w:sz w:val="24"/>
          <w:highlight w:val="none"/>
        </w:rPr>
      </w:pPr>
    </w:p>
    <w:p>
      <w:pPr>
        <w:spacing w:line="360" w:lineRule="exact"/>
        <w:rPr>
          <w:rFonts w:hint="eastAsia" w:ascii="宋体" w:hAnsi="宋体" w:cs="宋体"/>
          <w:color w:val="auto"/>
          <w:sz w:val="24"/>
          <w:highlight w:val="none"/>
        </w:rPr>
      </w:pPr>
      <w:r>
        <w:rPr>
          <w:rFonts w:hint="eastAsia" w:ascii="宋体" w:hAnsi="宋体" w:cs="宋体"/>
          <w:color w:val="auto"/>
          <w:sz w:val="24"/>
          <w:highlight w:val="none"/>
        </w:rPr>
        <w:t>四川新良大厦有限责任公司：</w:t>
      </w:r>
    </w:p>
    <w:p>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1.我方全面研究了“</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”项目询价通知书（采购项目编号：</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），决定参加贵单位组织的本项目询价采购。</w:t>
      </w:r>
    </w:p>
    <w:p>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2.我方自愿按照询价通知书规定的各项要求向采购人提供所需服务。</w:t>
      </w:r>
    </w:p>
    <w:p>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3.一旦我方成交，我方将严格履行采购合同规定的责任和义务。</w:t>
      </w:r>
    </w:p>
    <w:p>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4.我方为本项目提交的响应文件正本1份，副本2份，</w:t>
      </w:r>
      <w:r>
        <w:rPr>
          <w:rFonts w:hint="eastAsia" w:ascii="宋体" w:hAnsi="宋体" w:cs="宋体"/>
          <w:color w:val="auto"/>
          <w:sz w:val="24"/>
          <w:highlight w:val="none"/>
          <w:lang w:val="en-US" w:eastAsia="zh-CN"/>
        </w:rPr>
        <w:t>电子文档U盘1个，</w:t>
      </w:r>
      <w:r>
        <w:rPr>
          <w:rFonts w:hint="eastAsia" w:ascii="宋体" w:hAnsi="宋体" w:cs="宋体"/>
          <w:color w:val="auto"/>
          <w:sz w:val="24"/>
          <w:highlight w:val="none"/>
        </w:rPr>
        <w:t>用于询价报价。</w:t>
      </w:r>
    </w:p>
    <w:p>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5.我方愿意提供贵单位可能另外要求的，与询价报价有关的文件资料，并保证我方已提供和将要提供的文件资料是真实、准确的。</w:t>
      </w:r>
    </w:p>
    <w:p>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6.本次询价，我方递交的响应文件有效期为询价通知书规定起算之日起</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天。</w:t>
      </w:r>
    </w:p>
    <w:p>
      <w:pPr>
        <w:adjustRightInd w:val="0"/>
        <w:spacing w:line="360" w:lineRule="exact"/>
        <w:ind w:firstLine="480" w:firstLineChars="200"/>
        <w:jc w:val="left"/>
        <w:rPr>
          <w:rFonts w:hint="eastAsia" w:ascii="宋体" w:hAnsi="宋体" w:cs="宋体"/>
          <w:color w:val="auto"/>
          <w:sz w:val="24"/>
          <w:highlight w:val="none"/>
        </w:rPr>
      </w:pPr>
    </w:p>
    <w:p>
      <w:pPr>
        <w:adjustRightInd w:val="0"/>
        <w:spacing w:line="360" w:lineRule="exact"/>
        <w:ind w:firstLine="480" w:firstLineChars="200"/>
        <w:jc w:val="left"/>
        <w:rPr>
          <w:rFonts w:hint="eastAsia" w:ascii="宋体" w:hAnsi="宋体" w:cs="宋体"/>
          <w:color w:val="auto"/>
          <w:sz w:val="24"/>
          <w:highlight w:val="none"/>
        </w:rPr>
      </w:pPr>
    </w:p>
    <w:p>
      <w:pPr>
        <w:adjustRightInd w:val="0"/>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（盖单位公章）</w:t>
      </w:r>
    </w:p>
    <w:p>
      <w:pPr>
        <w:spacing w:line="360" w:lineRule="exact"/>
        <w:ind w:firstLine="470" w:firstLineChars="196"/>
        <w:rPr>
          <w:rFonts w:hint="eastAsia" w:ascii="宋体" w:hAnsi="宋体" w:eastAsia="宋体" w:cs="宋体"/>
          <w:color w:val="auto"/>
          <w:sz w:val="24"/>
          <w:highlight w:val="none"/>
          <w:lang w:eastAsia="zh-CN"/>
        </w:rPr>
      </w:pPr>
      <w:r>
        <w:rPr>
          <w:rFonts w:hint="eastAsia" w:ascii="宋体" w:hAnsi="宋体" w:cs="宋体"/>
          <w:color w:val="auto"/>
          <w:sz w:val="24"/>
          <w:highlight w:val="none"/>
        </w:rPr>
        <w:t>法定代表人/单位负责人或授权代表（签字或加盖个人印章）：</w:t>
      </w:r>
      <w:r>
        <w:rPr>
          <w:rFonts w:hint="eastAsia" w:ascii="宋体" w:hAnsi="宋体" w:cs="宋体"/>
          <w:color w:val="auto"/>
          <w:sz w:val="24"/>
          <w:highlight w:val="none"/>
          <w:lang w:eastAsia="zh-CN"/>
        </w:rPr>
        <w:t xml:space="preserve">      </w:t>
      </w:r>
    </w:p>
    <w:p>
      <w:pPr>
        <w:spacing w:line="360" w:lineRule="exact"/>
        <w:ind w:firstLine="470" w:firstLineChars="196"/>
        <w:rPr>
          <w:rFonts w:hint="eastAsia" w:ascii="宋体" w:hAnsi="宋体" w:eastAsia="宋体" w:cs="宋体"/>
          <w:color w:val="auto"/>
          <w:sz w:val="24"/>
          <w:highlight w:val="none"/>
          <w:lang w:eastAsia="zh-CN"/>
        </w:rPr>
      </w:pPr>
      <w:r>
        <w:rPr>
          <w:rFonts w:hint="eastAsia" w:ascii="宋体" w:hAnsi="宋体" w:cs="宋体"/>
          <w:color w:val="auto"/>
          <w:sz w:val="24"/>
          <w:highlight w:val="none"/>
        </w:rPr>
        <w:t>通讯地址：</w:t>
      </w:r>
      <w:r>
        <w:rPr>
          <w:rFonts w:hint="eastAsia" w:ascii="宋体" w:hAnsi="宋体" w:cs="宋体"/>
          <w:color w:val="auto"/>
          <w:sz w:val="24"/>
          <w:highlight w:val="none"/>
          <w:lang w:eastAsia="zh-CN"/>
        </w:rPr>
        <w:t xml:space="preserve">      </w:t>
      </w:r>
    </w:p>
    <w:p>
      <w:pPr>
        <w:spacing w:line="360" w:lineRule="exact"/>
        <w:ind w:firstLine="470" w:firstLineChars="196"/>
        <w:rPr>
          <w:rFonts w:hint="eastAsia" w:ascii="宋体" w:hAnsi="宋体" w:eastAsia="宋体" w:cs="宋体"/>
          <w:color w:val="auto"/>
          <w:sz w:val="24"/>
          <w:highlight w:val="none"/>
          <w:lang w:eastAsia="zh-CN"/>
        </w:rPr>
      </w:pPr>
      <w:r>
        <w:rPr>
          <w:rFonts w:hint="eastAsia" w:ascii="宋体" w:hAnsi="宋体" w:cs="宋体"/>
          <w:color w:val="auto"/>
          <w:sz w:val="24"/>
          <w:highlight w:val="none"/>
        </w:rPr>
        <w:t>邮政编码：</w:t>
      </w:r>
      <w:r>
        <w:rPr>
          <w:rFonts w:hint="eastAsia" w:ascii="宋体" w:hAnsi="宋体" w:cs="宋体"/>
          <w:color w:val="auto"/>
          <w:sz w:val="24"/>
          <w:highlight w:val="none"/>
          <w:lang w:eastAsia="zh-CN"/>
        </w:rPr>
        <w:t xml:space="preserve">      </w:t>
      </w:r>
    </w:p>
    <w:p>
      <w:pPr>
        <w:spacing w:line="360" w:lineRule="exact"/>
        <w:ind w:firstLine="470" w:firstLineChars="196"/>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eastAsia="zh-CN"/>
        </w:rPr>
        <w:t xml:space="preserve">      </w:t>
      </w:r>
    </w:p>
    <w:p>
      <w:pPr>
        <w:spacing w:line="360" w:lineRule="exact"/>
        <w:ind w:firstLine="470" w:firstLineChars="196"/>
        <w:rPr>
          <w:rFonts w:hint="eastAsia" w:ascii="宋体" w:hAnsi="宋体" w:eastAsia="宋体" w:cs="宋体"/>
          <w:color w:val="auto"/>
          <w:sz w:val="24"/>
          <w:highlight w:val="none"/>
          <w:lang w:eastAsia="zh-CN"/>
        </w:rPr>
      </w:pPr>
      <w:r>
        <w:rPr>
          <w:rFonts w:hint="eastAsia" w:ascii="宋体" w:hAnsi="宋体" w:cs="宋体"/>
          <w:color w:val="auto"/>
          <w:sz w:val="24"/>
          <w:highlight w:val="none"/>
        </w:rPr>
        <w:t>传    真：</w:t>
      </w:r>
      <w:r>
        <w:rPr>
          <w:rFonts w:hint="eastAsia" w:ascii="宋体" w:hAnsi="宋体" w:cs="宋体"/>
          <w:color w:val="auto"/>
          <w:sz w:val="24"/>
          <w:highlight w:val="none"/>
          <w:lang w:eastAsia="zh-CN"/>
        </w:rPr>
        <w:t xml:space="preserve">      </w:t>
      </w:r>
    </w:p>
    <w:p>
      <w:pPr>
        <w:spacing w:line="360" w:lineRule="exact"/>
        <w:ind w:firstLine="470" w:firstLineChars="196"/>
        <w:rPr>
          <w:rFonts w:hint="eastAsia" w:ascii="宋体" w:hAnsi="宋体" w:cs="宋体"/>
          <w:b/>
          <w:color w:val="auto"/>
          <w:sz w:val="32"/>
          <w:szCs w:val="32"/>
          <w:highlight w:val="none"/>
        </w:rPr>
      </w:pPr>
      <w:r>
        <w:rPr>
          <w:rFonts w:hint="eastAsia" w:ascii="宋体" w:hAnsi="宋体" w:cs="宋体"/>
          <w:color w:val="auto"/>
          <w:sz w:val="24"/>
          <w:highlight w:val="none"/>
        </w:rPr>
        <w:t>日    期：</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日</w:t>
      </w:r>
      <w:r>
        <w:rPr>
          <w:rFonts w:hint="eastAsia" w:ascii="宋体" w:hAnsi="宋体" w:cs="宋体"/>
          <w:b/>
          <w:color w:val="auto"/>
          <w:sz w:val="32"/>
          <w:szCs w:val="32"/>
          <w:highlight w:val="none"/>
        </w:rPr>
        <w:br w:type="page"/>
      </w:r>
      <w:bookmarkEnd w:id="59"/>
      <w:bookmarkStart w:id="60" w:name="_Toc217446087"/>
    </w:p>
    <w:p>
      <w:pPr>
        <w:widowControl/>
        <w:spacing w:line="360" w:lineRule="exact"/>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格式4</w:t>
      </w:r>
    </w:p>
    <w:p>
      <w:pPr>
        <w:widowControl/>
        <w:spacing w:line="360" w:lineRule="exact"/>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承诺函</w:t>
      </w:r>
    </w:p>
    <w:p>
      <w:pPr>
        <w:pStyle w:val="55"/>
        <w:spacing w:line="360" w:lineRule="exact"/>
        <w:ind w:firstLine="480"/>
        <w:rPr>
          <w:rFonts w:hint="eastAsia" w:ascii="宋体" w:hAnsi="宋体" w:eastAsia="宋体" w:cs="宋体"/>
          <w:color w:val="auto"/>
          <w:highlight w:val="none"/>
        </w:rPr>
      </w:pPr>
    </w:p>
    <w:p>
      <w:pPr>
        <w:spacing w:line="360" w:lineRule="exact"/>
        <w:rPr>
          <w:rFonts w:hint="eastAsia" w:ascii="宋体" w:hAnsi="宋体" w:cs="宋体"/>
          <w:color w:val="auto"/>
          <w:sz w:val="24"/>
          <w:highlight w:val="none"/>
        </w:rPr>
      </w:pPr>
      <w:r>
        <w:rPr>
          <w:rFonts w:hint="eastAsia" w:ascii="宋体" w:hAnsi="宋体" w:cs="宋体"/>
          <w:color w:val="auto"/>
          <w:sz w:val="24"/>
          <w:highlight w:val="none"/>
        </w:rPr>
        <w:t>四川新良大厦有限责任公司：</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我方作为本次采购项目的供应商，根据询价通知书要求，现郑重承诺如下：</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一、我方已认真阅读并接受本项目询价通知书第二章的全部实质性要求，如对询价通知书有异议，已依法进行维权救济，不存在对询价通知书有异议的同时又参加询价以求侥幸成交或者为实现其他非法目的的行为。</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二、在参加本次采购活动中，不存在与单位负责人为同一人或者存在直接控股、管理关系的其他供应商参与同一合同项下的采购活动的行为。</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三、为采购项目提供设计</w:t>
      </w:r>
      <w:r>
        <w:rPr>
          <w:rFonts w:hint="eastAsia" w:hAnsi="宋体" w:cs="宋体"/>
          <w:color w:val="auto"/>
          <w:sz w:val="24"/>
          <w:highlight w:val="none"/>
        </w:rPr>
        <w:t>、项目监理、结算审核及决算审计等</w:t>
      </w:r>
      <w:r>
        <w:rPr>
          <w:rFonts w:hint="eastAsia" w:ascii="宋体" w:hAnsi="宋体" w:cs="宋体"/>
          <w:color w:val="auto"/>
          <w:sz w:val="24"/>
          <w:highlight w:val="none"/>
        </w:rPr>
        <w:t>服务的供应商，不得再参加该采购项目的其他采购活动，我方承诺不属于此类禁止参加本项目的供应商。</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四、响应文件中提供的任何资料和技术、服务、商务等响应承诺情况都是真实的、有效的、合法的。</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五、国家或行业主管部门对采购服务的技术标准、质量标准和资格资质条件等有强制性规定的，我方承诺符合其要求。</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六、参加本次采购活动，我方完全同意询价通知书第二章关于“询价费用</w:t>
      </w:r>
      <w:r>
        <w:rPr>
          <w:rFonts w:hint="eastAsia" w:ascii="宋体" w:hAnsi="宋体" w:cs="宋体"/>
          <w:color w:val="auto"/>
          <w:sz w:val="24"/>
          <w:highlight w:val="none"/>
          <w:lang w:eastAsia="zh-CN"/>
        </w:rPr>
        <w:t>”“</w:t>
      </w:r>
      <w:r>
        <w:rPr>
          <w:rFonts w:hint="eastAsia" w:ascii="宋体" w:hAnsi="宋体" w:cs="宋体"/>
          <w:color w:val="auto"/>
          <w:sz w:val="24"/>
          <w:highlight w:val="none"/>
        </w:rPr>
        <w:t>合同分包</w:t>
      </w:r>
      <w:r>
        <w:rPr>
          <w:rFonts w:hint="eastAsia" w:ascii="宋体" w:hAnsi="宋体" w:cs="宋体"/>
          <w:color w:val="auto"/>
          <w:sz w:val="24"/>
          <w:highlight w:val="none"/>
          <w:lang w:eastAsia="zh-CN"/>
        </w:rPr>
        <w:t>”“</w:t>
      </w:r>
      <w:r>
        <w:rPr>
          <w:rFonts w:hint="eastAsia" w:ascii="宋体" w:hAnsi="宋体" w:cs="宋体"/>
          <w:color w:val="auto"/>
          <w:sz w:val="24"/>
          <w:highlight w:val="none"/>
        </w:rPr>
        <w:t>合同转包</w:t>
      </w:r>
      <w:r>
        <w:rPr>
          <w:rFonts w:hint="eastAsia" w:ascii="宋体" w:hAnsi="宋体" w:cs="宋体"/>
          <w:color w:val="auto"/>
          <w:sz w:val="24"/>
          <w:highlight w:val="none"/>
          <w:lang w:eastAsia="zh-CN"/>
        </w:rPr>
        <w:t>”“</w:t>
      </w:r>
      <w:r>
        <w:rPr>
          <w:rFonts w:hint="eastAsia" w:ascii="宋体" w:hAnsi="宋体" w:cs="宋体"/>
          <w:color w:val="auto"/>
          <w:sz w:val="24"/>
          <w:highlight w:val="none"/>
        </w:rPr>
        <w:t>履约保证金”的实质性要求，并承诺严格按照询价通知书要求履行。</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七、我方保证在本项目使用的任何服务（包括部分使用）时，不会产生因第三方提出侵犯其专利权、商标权或</w:t>
      </w:r>
      <w:r>
        <w:rPr>
          <w:rFonts w:hint="eastAsia" w:ascii="宋体" w:hAnsi="宋体" w:cs="宋体"/>
          <w:color w:val="auto"/>
          <w:sz w:val="24"/>
          <w:highlight w:val="none"/>
          <w:lang w:eastAsia="zh-CN"/>
        </w:rPr>
        <w:t>其他</w:t>
      </w:r>
      <w:r>
        <w:rPr>
          <w:rFonts w:hint="eastAsia" w:ascii="宋体" w:hAnsi="宋体" w:cs="宋体"/>
          <w:color w:val="auto"/>
          <w:sz w:val="24"/>
          <w:highlight w:val="none"/>
        </w:rPr>
        <w:t>知识产权而引起的法律和经济纠纷，如因专利权、商标权或</w:t>
      </w:r>
      <w:r>
        <w:rPr>
          <w:rFonts w:hint="eastAsia" w:ascii="宋体" w:hAnsi="宋体" w:cs="宋体"/>
          <w:color w:val="auto"/>
          <w:sz w:val="24"/>
          <w:highlight w:val="none"/>
          <w:lang w:eastAsia="zh-CN"/>
        </w:rPr>
        <w:t>其他</w:t>
      </w:r>
      <w:r>
        <w:rPr>
          <w:rFonts w:hint="eastAsia" w:ascii="宋体" w:hAnsi="宋体" w:cs="宋体"/>
          <w:color w:val="auto"/>
          <w:sz w:val="24"/>
          <w:highlight w:val="none"/>
        </w:rPr>
        <w:t>知识产权而引起法律和经济纠纷，由我方承担所有相关责任。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我方对上述承诺的内容事项真实性负责。如经查实上述承诺的内容事项存在虚假，我方愿意接受以提供虚假材料谋取成交的法律责任。</w:t>
      </w:r>
    </w:p>
    <w:p>
      <w:pPr>
        <w:spacing w:line="360" w:lineRule="exact"/>
        <w:rPr>
          <w:rFonts w:hint="eastAsia" w:ascii="宋体" w:hAnsi="宋体" w:cs="宋体"/>
          <w:color w:val="auto"/>
          <w:sz w:val="24"/>
          <w:highlight w:val="none"/>
        </w:rPr>
      </w:pPr>
    </w:p>
    <w:p>
      <w:pPr>
        <w:spacing w:line="360" w:lineRule="exact"/>
        <w:rPr>
          <w:rFonts w:hint="eastAsia" w:ascii="宋体" w:hAnsi="宋体" w:cs="宋体"/>
          <w:color w:val="auto"/>
          <w:sz w:val="24"/>
          <w:highlight w:val="none"/>
        </w:rPr>
      </w:pPr>
    </w:p>
    <w:p>
      <w:pPr>
        <w:spacing w:line="3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法定代表人/单位负责人签字或加盖个人印章：</w:t>
      </w:r>
      <w:r>
        <w:rPr>
          <w:rFonts w:hint="eastAsia" w:ascii="宋体" w:hAnsi="宋体" w:cs="宋体"/>
          <w:color w:val="auto"/>
          <w:sz w:val="24"/>
          <w:highlight w:val="none"/>
          <w:lang w:eastAsia="zh-CN"/>
        </w:rPr>
        <w:t xml:space="preserve">      </w:t>
      </w:r>
    </w:p>
    <w:p>
      <w:pPr>
        <w:spacing w:line="3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授权代表签字：</w:t>
      </w:r>
      <w:r>
        <w:rPr>
          <w:rFonts w:hint="eastAsia" w:ascii="宋体" w:hAnsi="宋体" w:cs="宋体"/>
          <w:color w:val="auto"/>
          <w:sz w:val="24"/>
          <w:highlight w:val="none"/>
          <w:lang w:eastAsia="zh-CN"/>
        </w:rPr>
        <w:t xml:space="preserve">      </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（盖章）</w:t>
      </w:r>
    </w:p>
    <w:p>
      <w:pPr>
        <w:spacing w:line="360" w:lineRule="exact"/>
        <w:ind w:firstLine="480" w:firstLineChars="200"/>
        <w:rPr>
          <w:rFonts w:hint="eastAsia" w:ascii="宋体" w:hAnsi="宋体" w:cs="宋体"/>
          <w:bCs/>
          <w:color w:val="auto"/>
          <w:sz w:val="24"/>
          <w:szCs w:val="30"/>
          <w:highlight w:val="none"/>
        </w:rPr>
      </w:pPr>
      <w:r>
        <w:rPr>
          <w:rFonts w:hint="eastAsia" w:ascii="宋体" w:hAnsi="宋体" w:cs="宋体"/>
          <w:color w:val="auto"/>
          <w:sz w:val="24"/>
          <w:highlight w:val="none"/>
        </w:rPr>
        <w:t>日    期：</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日</w:t>
      </w:r>
    </w:p>
    <w:p>
      <w:pPr>
        <w:spacing w:line="360" w:lineRule="exact"/>
        <w:ind w:firstLine="420" w:firstLineChars="200"/>
        <w:rPr>
          <w:rFonts w:hint="eastAsia" w:ascii="宋体" w:hAnsi="宋体" w:cs="宋体"/>
          <w:color w:val="auto"/>
          <w:szCs w:val="21"/>
          <w:highlight w:val="none"/>
        </w:rPr>
      </w:pPr>
    </w:p>
    <w:p>
      <w:pPr>
        <w:widowControl/>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32"/>
          <w:szCs w:val="32"/>
          <w:highlight w:val="none"/>
        </w:rPr>
        <w:t>格式5</w:t>
      </w:r>
    </w:p>
    <w:p>
      <w:pPr>
        <w:spacing w:line="360" w:lineRule="exact"/>
        <w:jc w:val="center"/>
        <w:outlineLvl w:val="2"/>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供应商基本情况表</w:t>
      </w:r>
    </w:p>
    <w:p>
      <w:pPr>
        <w:spacing w:line="360" w:lineRule="exact"/>
        <w:jc w:val="center"/>
        <w:rPr>
          <w:rFonts w:hint="eastAsia" w:ascii="宋体" w:hAnsi="宋体" w:cs="宋体"/>
          <w:b/>
          <w:bCs/>
          <w:color w:val="auto"/>
          <w:sz w:val="32"/>
          <w:szCs w:val="32"/>
          <w:highlight w:val="none"/>
        </w:rPr>
      </w:pPr>
    </w:p>
    <w:tbl>
      <w:tblPr>
        <w:tblStyle w:val="2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供应商名称</w:t>
            </w:r>
          </w:p>
        </w:tc>
        <w:tc>
          <w:tcPr>
            <w:tcW w:w="7560" w:type="dxa"/>
            <w:gridSpan w:val="11"/>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注册地址</w:t>
            </w:r>
          </w:p>
        </w:tc>
        <w:tc>
          <w:tcPr>
            <w:tcW w:w="4680" w:type="dxa"/>
            <w:gridSpan w:val="6"/>
            <w:shd w:val="clear" w:color="auto" w:fill="auto"/>
            <w:vAlign w:val="center"/>
          </w:tcPr>
          <w:p>
            <w:pPr>
              <w:spacing w:line="360" w:lineRule="exact"/>
              <w:jc w:val="center"/>
              <w:rPr>
                <w:rFonts w:hint="eastAsia" w:ascii="宋体" w:hAnsi="宋体" w:cs="宋体"/>
                <w:bCs/>
                <w:color w:val="auto"/>
                <w:szCs w:val="21"/>
                <w:highlight w:val="none"/>
              </w:rPr>
            </w:pPr>
          </w:p>
        </w:tc>
        <w:tc>
          <w:tcPr>
            <w:tcW w:w="126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邮政编码</w:t>
            </w:r>
          </w:p>
        </w:tc>
        <w:tc>
          <w:tcPr>
            <w:tcW w:w="1620" w:type="dxa"/>
            <w:gridSpan w:val="2"/>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联系方式</w:t>
            </w:r>
          </w:p>
        </w:tc>
        <w:tc>
          <w:tcPr>
            <w:tcW w:w="1080" w:type="dxa"/>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联系人</w:t>
            </w:r>
          </w:p>
        </w:tc>
        <w:tc>
          <w:tcPr>
            <w:tcW w:w="3600" w:type="dxa"/>
            <w:gridSpan w:val="5"/>
            <w:shd w:val="clear" w:color="auto" w:fill="auto"/>
            <w:vAlign w:val="center"/>
          </w:tcPr>
          <w:p>
            <w:pPr>
              <w:spacing w:line="360" w:lineRule="exact"/>
              <w:jc w:val="center"/>
              <w:rPr>
                <w:rFonts w:hint="eastAsia" w:ascii="宋体" w:hAnsi="宋体" w:cs="宋体"/>
                <w:bCs/>
                <w:color w:val="auto"/>
                <w:szCs w:val="21"/>
                <w:highlight w:val="none"/>
              </w:rPr>
            </w:pPr>
          </w:p>
        </w:tc>
        <w:tc>
          <w:tcPr>
            <w:tcW w:w="126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联系电话</w:t>
            </w:r>
          </w:p>
        </w:tc>
        <w:tc>
          <w:tcPr>
            <w:tcW w:w="1620" w:type="dxa"/>
            <w:gridSpan w:val="2"/>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spacing w:line="360" w:lineRule="exact"/>
              <w:jc w:val="center"/>
              <w:rPr>
                <w:rFonts w:hint="eastAsia" w:ascii="宋体" w:hAnsi="宋体" w:cs="宋体"/>
                <w:bCs/>
                <w:color w:val="auto"/>
                <w:szCs w:val="21"/>
                <w:highlight w:val="none"/>
              </w:rPr>
            </w:pPr>
          </w:p>
        </w:tc>
        <w:tc>
          <w:tcPr>
            <w:tcW w:w="1080" w:type="dxa"/>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传真</w:t>
            </w:r>
          </w:p>
        </w:tc>
        <w:tc>
          <w:tcPr>
            <w:tcW w:w="3600" w:type="dxa"/>
            <w:gridSpan w:val="5"/>
            <w:shd w:val="clear" w:color="auto" w:fill="auto"/>
            <w:vAlign w:val="center"/>
          </w:tcPr>
          <w:p>
            <w:pPr>
              <w:spacing w:line="360" w:lineRule="exact"/>
              <w:jc w:val="center"/>
              <w:rPr>
                <w:rFonts w:hint="eastAsia" w:ascii="宋体" w:hAnsi="宋体" w:cs="宋体"/>
                <w:bCs/>
                <w:color w:val="auto"/>
                <w:szCs w:val="21"/>
                <w:highlight w:val="none"/>
              </w:rPr>
            </w:pPr>
          </w:p>
        </w:tc>
        <w:tc>
          <w:tcPr>
            <w:tcW w:w="126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网址</w:t>
            </w:r>
          </w:p>
        </w:tc>
        <w:tc>
          <w:tcPr>
            <w:tcW w:w="1620" w:type="dxa"/>
            <w:gridSpan w:val="2"/>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组织结构</w:t>
            </w:r>
          </w:p>
        </w:tc>
        <w:tc>
          <w:tcPr>
            <w:tcW w:w="7560" w:type="dxa"/>
            <w:gridSpan w:val="11"/>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法定代表人/单位负责人</w:t>
            </w:r>
          </w:p>
        </w:tc>
        <w:tc>
          <w:tcPr>
            <w:tcW w:w="1260" w:type="dxa"/>
            <w:gridSpan w:val="2"/>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姓名</w:t>
            </w:r>
          </w:p>
        </w:tc>
        <w:tc>
          <w:tcPr>
            <w:tcW w:w="1260" w:type="dxa"/>
            <w:shd w:val="clear" w:color="auto" w:fill="auto"/>
            <w:vAlign w:val="center"/>
          </w:tcPr>
          <w:p>
            <w:pPr>
              <w:spacing w:line="360" w:lineRule="exact"/>
              <w:jc w:val="center"/>
              <w:rPr>
                <w:rFonts w:hint="eastAsia" w:ascii="宋体" w:hAnsi="宋体" w:cs="宋体"/>
                <w:bCs/>
                <w:color w:val="auto"/>
                <w:szCs w:val="21"/>
                <w:highlight w:val="none"/>
              </w:rPr>
            </w:pPr>
          </w:p>
        </w:tc>
        <w:tc>
          <w:tcPr>
            <w:tcW w:w="1260" w:type="dxa"/>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技术职称</w:t>
            </w:r>
          </w:p>
        </w:tc>
        <w:tc>
          <w:tcPr>
            <w:tcW w:w="126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c>
          <w:tcPr>
            <w:tcW w:w="126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联系电话</w:t>
            </w:r>
          </w:p>
        </w:tc>
        <w:tc>
          <w:tcPr>
            <w:tcW w:w="1260" w:type="dxa"/>
            <w:shd w:val="clear" w:color="auto" w:fill="auto"/>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技术负责人</w:t>
            </w:r>
          </w:p>
        </w:tc>
        <w:tc>
          <w:tcPr>
            <w:tcW w:w="1260" w:type="dxa"/>
            <w:gridSpan w:val="2"/>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姓名</w:t>
            </w:r>
          </w:p>
        </w:tc>
        <w:tc>
          <w:tcPr>
            <w:tcW w:w="1260" w:type="dxa"/>
            <w:shd w:val="clear" w:color="auto" w:fill="auto"/>
            <w:vAlign w:val="center"/>
          </w:tcPr>
          <w:p>
            <w:pPr>
              <w:spacing w:line="360" w:lineRule="exact"/>
              <w:jc w:val="center"/>
              <w:rPr>
                <w:rFonts w:hint="eastAsia" w:ascii="宋体" w:hAnsi="宋体" w:cs="宋体"/>
                <w:bCs/>
                <w:color w:val="auto"/>
                <w:szCs w:val="21"/>
                <w:highlight w:val="none"/>
              </w:rPr>
            </w:pPr>
          </w:p>
        </w:tc>
        <w:tc>
          <w:tcPr>
            <w:tcW w:w="1260" w:type="dxa"/>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技术职称</w:t>
            </w:r>
          </w:p>
        </w:tc>
        <w:tc>
          <w:tcPr>
            <w:tcW w:w="126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c>
          <w:tcPr>
            <w:tcW w:w="126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联系电话</w:t>
            </w:r>
          </w:p>
        </w:tc>
        <w:tc>
          <w:tcPr>
            <w:tcW w:w="1260" w:type="dxa"/>
            <w:shd w:val="clear" w:color="auto" w:fill="auto"/>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成立时间</w:t>
            </w:r>
          </w:p>
        </w:tc>
        <w:tc>
          <w:tcPr>
            <w:tcW w:w="2520" w:type="dxa"/>
            <w:gridSpan w:val="3"/>
            <w:vAlign w:val="center"/>
          </w:tcPr>
          <w:p>
            <w:pPr>
              <w:spacing w:line="360" w:lineRule="exact"/>
              <w:jc w:val="center"/>
              <w:rPr>
                <w:rFonts w:hint="eastAsia" w:ascii="宋体" w:hAnsi="宋体" w:cs="宋体"/>
                <w:bCs/>
                <w:color w:val="auto"/>
                <w:szCs w:val="21"/>
                <w:highlight w:val="none"/>
              </w:rPr>
            </w:pPr>
          </w:p>
        </w:tc>
        <w:tc>
          <w:tcPr>
            <w:tcW w:w="5040" w:type="dxa"/>
            <w:gridSpan w:val="8"/>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企业资质等级</w:t>
            </w:r>
          </w:p>
        </w:tc>
        <w:tc>
          <w:tcPr>
            <w:tcW w:w="252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2"/>
            <w:vMerge w:val="restart"/>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其中</w:t>
            </w: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项目经理</w:t>
            </w: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营业执照</w:t>
            </w:r>
            <w:r>
              <w:rPr>
                <w:rFonts w:hint="eastAsia" w:ascii="宋体" w:hAnsi="宋体" w:cs="宋体"/>
                <w:color w:val="auto"/>
                <w:highlight w:val="none"/>
              </w:rPr>
              <w:t>号</w:t>
            </w:r>
          </w:p>
        </w:tc>
        <w:tc>
          <w:tcPr>
            <w:tcW w:w="252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2"/>
            <w:vMerge w:val="continue"/>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高级职称人员</w:t>
            </w: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注册资金</w:t>
            </w:r>
          </w:p>
        </w:tc>
        <w:tc>
          <w:tcPr>
            <w:tcW w:w="252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2"/>
            <w:vMerge w:val="continue"/>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中级职称人员</w:t>
            </w: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开户银行</w:t>
            </w:r>
          </w:p>
        </w:tc>
        <w:tc>
          <w:tcPr>
            <w:tcW w:w="252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2"/>
            <w:vMerge w:val="continue"/>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初级职称人员</w:t>
            </w: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账号</w:t>
            </w:r>
          </w:p>
        </w:tc>
        <w:tc>
          <w:tcPr>
            <w:tcW w:w="252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2"/>
            <w:vMerge w:val="continue"/>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技工</w:t>
            </w: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经营范围</w:t>
            </w:r>
          </w:p>
        </w:tc>
        <w:tc>
          <w:tcPr>
            <w:tcW w:w="7560" w:type="dxa"/>
            <w:gridSpan w:val="11"/>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备注</w:t>
            </w:r>
          </w:p>
        </w:tc>
        <w:tc>
          <w:tcPr>
            <w:tcW w:w="7560" w:type="dxa"/>
            <w:gridSpan w:val="11"/>
            <w:vAlign w:val="center"/>
          </w:tcPr>
          <w:p>
            <w:pPr>
              <w:spacing w:line="360" w:lineRule="exact"/>
              <w:jc w:val="center"/>
              <w:rPr>
                <w:rFonts w:hint="eastAsia" w:ascii="宋体" w:hAnsi="宋体" w:cs="宋体"/>
                <w:bCs/>
                <w:color w:val="auto"/>
                <w:szCs w:val="21"/>
                <w:highlight w:val="none"/>
              </w:rPr>
            </w:pPr>
          </w:p>
        </w:tc>
      </w:tr>
    </w:tbl>
    <w:p>
      <w:pPr>
        <w:adjustRightInd w:val="0"/>
        <w:spacing w:line="360" w:lineRule="exact"/>
        <w:jc w:val="left"/>
        <w:rPr>
          <w:rFonts w:hint="eastAsia" w:ascii="宋体" w:hAnsi="宋体" w:cs="宋体"/>
          <w:color w:val="auto"/>
          <w:sz w:val="24"/>
          <w:highlight w:val="none"/>
        </w:rPr>
      </w:pPr>
    </w:p>
    <w:p>
      <w:pPr>
        <w:adjustRightInd w:val="0"/>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（盖单位公章）</w:t>
      </w:r>
    </w:p>
    <w:p>
      <w:pPr>
        <w:adjustRightInd w:val="0"/>
        <w:spacing w:line="360" w:lineRule="exact"/>
        <w:jc w:val="left"/>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法定代表人/单位负责人或授权代表</w:t>
      </w:r>
      <w:r>
        <w:rPr>
          <w:rFonts w:hint="eastAsia" w:ascii="宋体" w:hAnsi="宋体" w:cs="宋体"/>
          <w:color w:val="auto"/>
          <w:sz w:val="24"/>
          <w:highlight w:val="none"/>
        </w:rPr>
        <w:t>（签字或加盖个人印章）</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 xml:space="preserve">      </w:t>
      </w:r>
    </w:p>
    <w:p>
      <w:pPr>
        <w:adjustRightInd w:val="0"/>
        <w:spacing w:line="360" w:lineRule="exact"/>
        <w:jc w:val="left"/>
        <w:rPr>
          <w:rFonts w:hint="eastAsia" w:ascii="宋体" w:hAnsi="宋体" w:cs="宋体"/>
          <w:bCs/>
          <w:color w:val="auto"/>
          <w:sz w:val="24"/>
          <w:highlight w:val="none"/>
        </w:rPr>
      </w:pPr>
      <w:r>
        <w:rPr>
          <w:rFonts w:hint="eastAsia" w:ascii="宋体" w:hAnsi="宋体" w:cs="宋体"/>
          <w:bCs/>
          <w:color w:val="auto"/>
          <w:sz w:val="24"/>
          <w:highlight w:val="none"/>
        </w:rPr>
        <w:t>日  期：</w:t>
      </w:r>
      <w:r>
        <w:rPr>
          <w:rFonts w:hint="eastAsia" w:ascii="宋体" w:hAnsi="宋体" w:cs="宋体"/>
          <w:bCs/>
          <w:color w:val="auto"/>
          <w:sz w:val="24"/>
          <w:highlight w:val="none"/>
          <w:lang w:eastAsia="zh-CN"/>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lang w:eastAsia="zh-CN"/>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lang w:eastAsia="zh-CN"/>
        </w:rPr>
        <w:t xml:space="preserve">      </w:t>
      </w:r>
      <w:r>
        <w:rPr>
          <w:rFonts w:hint="eastAsia" w:ascii="宋体" w:hAnsi="宋体" w:cs="宋体"/>
          <w:bCs/>
          <w:color w:val="auto"/>
          <w:sz w:val="24"/>
          <w:highlight w:val="none"/>
        </w:rPr>
        <w:t>日</w:t>
      </w:r>
    </w:p>
    <w:p>
      <w:pPr>
        <w:widowControl/>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br w:type="page"/>
      </w:r>
    </w:p>
    <w:p>
      <w:pPr>
        <w:spacing w:line="360" w:lineRule="exact"/>
        <w:rPr>
          <w:rFonts w:hint="eastAsia" w:ascii="宋体" w:hAnsi="宋体" w:cs="宋体"/>
          <w:b/>
          <w:bCs/>
          <w:color w:val="auto"/>
          <w:sz w:val="28"/>
          <w:szCs w:val="28"/>
          <w:highlight w:val="none"/>
        </w:rPr>
        <w:sectPr>
          <w:headerReference r:id="rId7" w:type="default"/>
          <w:type w:val="continuous"/>
          <w:pgSz w:w="11907" w:h="16840"/>
          <w:pgMar w:top="1440" w:right="1800" w:bottom="1440" w:left="1800" w:header="851" w:footer="992" w:gutter="0"/>
          <w:pgNumType w:fmt="decimal"/>
          <w:cols w:space="425" w:num="1"/>
          <w:docGrid w:linePitch="312" w:charSpace="0"/>
        </w:sectPr>
      </w:pPr>
    </w:p>
    <w:p>
      <w:pPr>
        <w:spacing w:line="360" w:lineRule="exact"/>
        <w:jc w:val="left"/>
        <w:rPr>
          <w:rFonts w:hint="eastAsia" w:ascii="宋体" w:hAnsi="宋体" w:cs="宋体"/>
          <w:b/>
          <w:bCs/>
          <w:color w:val="auto"/>
          <w:sz w:val="32"/>
          <w:szCs w:val="32"/>
          <w:highlight w:val="none"/>
        </w:rPr>
      </w:pPr>
      <w:r>
        <w:rPr>
          <w:rFonts w:hint="eastAsia" w:ascii="宋体" w:hAnsi="宋体" w:cs="宋体"/>
          <w:b/>
          <w:color w:val="auto"/>
          <w:sz w:val="32"/>
          <w:szCs w:val="32"/>
          <w:highlight w:val="none"/>
        </w:rPr>
        <w:t>格式6</w:t>
      </w:r>
    </w:p>
    <w:p>
      <w:pPr>
        <w:spacing w:line="360" w:lineRule="exact"/>
        <w:jc w:val="center"/>
        <w:outlineLvl w:val="2"/>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技术、商务服务要求应答表</w:t>
      </w:r>
    </w:p>
    <w:p>
      <w:pPr>
        <w:spacing w:line="360" w:lineRule="exact"/>
        <w:jc w:val="center"/>
        <w:rPr>
          <w:rFonts w:hint="eastAsia" w:ascii="宋体" w:hAnsi="宋体" w:cs="宋体"/>
          <w:b/>
          <w:bCs/>
          <w:color w:val="auto"/>
          <w:sz w:val="32"/>
          <w:szCs w:val="32"/>
          <w:highlight w:val="none"/>
        </w:rPr>
      </w:pPr>
    </w:p>
    <w:p>
      <w:pPr>
        <w:spacing w:line="3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采购项目编号：</w:t>
      </w:r>
    </w:p>
    <w:tbl>
      <w:tblPr>
        <w:tblStyle w:val="26"/>
        <w:tblW w:w="7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36"/>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46" w:type="dxa"/>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836" w:type="dxa"/>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询价通知书要求</w:t>
            </w:r>
          </w:p>
        </w:tc>
        <w:tc>
          <w:tcPr>
            <w:tcW w:w="3543" w:type="dxa"/>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46" w:type="dxa"/>
          </w:tcPr>
          <w:p>
            <w:pPr>
              <w:spacing w:line="360" w:lineRule="exact"/>
              <w:jc w:val="center"/>
              <w:rPr>
                <w:rFonts w:hint="eastAsia" w:ascii="宋体" w:hAnsi="宋体" w:cs="宋体"/>
                <w:color w:val="auto"/>
                <w:sz w:val="24"/>
                <w:highlight w:val="none"/>
              </w:rPr>
            </w:pPr>
          </w:p>
        </w:tc>
        <w:tc>
          <w:tcPr>
            <w:tcW w:w="2836" w:type="dxa"/>
          </w:tcPr>
          <w:p>
            <w:pPr>
              <w:spacing w:line="360" w:lineRule="exact"/>
              <w:jc w:val="center"/>
              <w:rPr>
                <w:rFonts w:hint="eastAsia" w:ascii="宋体" w:hAnsi="宋体" w:cs="宋体"/>
                <w:color w:val="auto"/>
                <w:sz w:val="24"/>
                <w:highlight w:val="none"/>
              </w:rPr>
            </w:pPr>
          </w:p>
        </w:tc>
        <w:tc>
          <w:tcPr>
            <w:tcW w:w="3543" w:type="dxa"/>
          </w:tcPr>
          <w:p>
            <w:pPr>
              <w:spacing w:line="36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46" w:type="dxa"/>
          </w:tcPr>
          <w:p>
            <w:pPr>
              <w:spacing w:line="360" w:lineRule="exact"/>
              <w:jc w:val="center"/>
              <w:rPr>
                <w:rFonts w:hint="eastAsia" w:ascii="宋体" w:hAnsi="宋体" w:cs="宋体"/>
                <w:color w:val="auto"/>
                <w:sz w:val="24"/>
                <w:highlight w:val="none"/>
              </w:rPr>
            </w:pPr>
          </w:p>
        </w:tc>
        <w:tc>
          <w:tcPr>
            <w:tcW w:w="2836" w:type="dxa"/>
          </w:tcPr>
          <w:p>
            <w:pPr>
              <w:spacing w:line="360" w:lineRule="exact"/>
              <w:jc w:val="center"/>
              <w:rPr>
                <w:rFonts w:hint="eastAsia" w:ascii="宋体" w:hAnsi="宋体" w:cs="宋体"/>
                <w:color w:val="auto"/>
                <w:sz w:val="24"/>
                <w:highlight w:val="none"/>
              </w:rPr>
            </w:pPr>
          </w:p>
        </w:tc>
        <w:tc>
          <w:tcPr>
            <w:tcW w:w="3543" w:type="dxa"/>
          </w:tcPr>
          <w:p>
            <w:pPr>
              <w:spacing w:line="36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46" w:type="dxa"/>
          </w:tcPr>
          <w:p>
            <w:pPr>
              <w:spacing w:line="360" w:lineRule="exact"/>
              <w:jc w:val="center"/>
              <w:rPr>
                <w:rFonts w:hint="eastAsia" w:ascii="宋体" w:hAnsi="宋体" w:cs="宋体"/>
                <w:color w:val="auto"/>
                <w:sz w:val="24"/>
                <w:highlight w:val="none"/>
              </w:rPr>
            </w:pPr>
          </w:p>
        </w:tc>
        <w:tc>
          <w:tcPr>
            <w:tcW w:w="2836" w:type="dxa"/>
          </w:tcPr>
          <w:p>
            <w:pPr>
              <w:spacing w:line="360" w:lineRule="exact"/>
              <w:jc w:val="center"/>
              <w:rPr>
                <w:rFonts w:hint="eastAsia" w:ascii="宋体" w:hAnsi="宋体" w:cs="宋体"/>
                <w:color w:val="auto"/>
                <w:sz w:val="24"/>
                <w:highlight w:val="none"/>
              </w:rPr>
            </w:pPr>
          </w:p>
        </w:tc>
        <w:tc>
          <w:tcPr>
            <w:tcW w:w="3543" w:type="dxa"/>
          </w:tcPr>
          <w:p>
            <w:pPr>
              <w:spacing w:line="36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46" w:type="dxa"/>
          </w:tcPr>
          <w:p>
            <w:pPr>
              <w:spacing w:line="360" w:lineRule="exact"/>
              <w:jc w:val="center"/>
              <w:rPr>
                <w:rFonts w:hint="eastAsia" w:ascii="宋体" w:hAnsi="宋体" w:cs="宋体"/>
                <w:color w:val="auto"/>
                <w:sz w:val="24"/>
                <w:highlight w:val="none"/>
              </w:rPr>
            </w:pPr>
          </w:p>
        </w:tc>
        <w:tc>
          <w:tcPr>
            <w:tcW w:w="2836" w:type="dxa"/>
          </w:tcPr>
          <w:p>
            <w:pPr>
              <w:spacing w:line="360" w:lineRule="exact"/>
              <w:jc w:val="center"/>
              <w:rPr>
                <w:rFonts w:hint="eastAsia" w:ascii="宋体" w:hAnsi="宋体" w:cs="宋体"/>
                <w:color w:val="auto"/>
                <w:sz w:val="24"/>
                <w:highlight w:val="none"/>
              </w:rPr>
            </w:pPr>
          </w:p>
        </w:tc>
        <w:tc>
          <w:tcPr>
            <w:tcW w:w="3543" w:type="dxa"/>
          </w:tcPr>
          <w:p>
            <w:pPr>
              <w:spacing w:line="360" w:lineRule="exact"/>
              <w:jc w:val="center"/>
              <w:rPr>
                <w:rFonts w:hint="eastAsia" w:ascii="宋体" w:hAnsi="宋体" w:cs="宋体"/>
                <w:color w:val="auto"/>
                <w:sz w:val="24"/>
                <w:highlight w:val="none"/>
              </w:rPr>
            </w:pPr>
          </w:p>
        </w:tc>
      </w:tr>
    </w:tbl>
    <w:p>
      <w:pPr>
        <w:spacing w:line="360" w:lineRule="exact"/>
        <w:ind w:firstLine="482" w:firstLineChars="200"/>
        <w:rPr>
          <w:rFonts w:hint="eastAsia" w:ascii="宋体" w:hAnsi="宋体" w:cs="宋体"/>
          <w:b/>
          <w:color w:val="auto"/>
          <w:sz w:val="24"/>
          <w:highlight w:val="none"/>
        </w:rPr>
      </w:pPr>
    </w:p>
    <w:p>
      <w:pPr>
        <w:spacing w:line="360" w:lineRule="exact"/>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注：供应商需根据询价通知书要求据实逐条填写，不得虚假响应，虚假响应的，其响应文件无效并按规定追究其相关责任。</w:t>
      </w:r>
    </w:p>
    <w:p>
      <w:pPr>
        <w:adjustRightInd w:val="0"/>
        <w:spacing w:line="360" w:lineRule="exact"/>
        <w:ind w:firstLine="480" w:firstLineChars="200"/>
        <w:jc w:val="left"/>
        <w:rPr>
          <w:rFonts w:hint="eastAsia" w:ascii="宋体" w:hAnsi="宋体" w:cs="宋体"/>
          <w:color w:val="auto"/>
          <w:sz w:val="24"/>
          <w:highlight w:val="none"/>
        </w:rPr>
      </w:pPr>
    </w:p>
    <w:p>
      <w:pPr>
        <w:adjustRightInd w:val="0"/>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（盖单位公章）</w:t>
      </w:r>
    </w:p>
    <w:p>
      <w:pPr>
        <w:adjustRightInd w:val="0"/>
        <w:spacing w:line="36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法定代表人/单位负责人或授权代表</w:t>
      </w:r>
      <w:r>
        <w:rPr>
          <w:rFonts w:hint="eastAsia" w:ascii="宋体" w:hAnsi="宋体" w:cs="宋体"/>
          <w:color w:val="auto"/>
          <w:sz w:val="24"/>
          <w:highlight w:val="none"/>
        </w:rPr>
        <w:t>（签字或加盖个人印章）</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 xml:space="preserve">      </w:t>
      </w:r>
    </w:p>
    <w:p>
      <w:pPr>
        <w:adjustRightInd w:val="0"/>
        <w:spacing w:line="360" w:lineRule="exact"/>
        <w:ind w:firstLine="540" w:firstLineChars="225"/>
        <w:jc w:val="left"/>
        <w:rPr>
          <w:rFonts w:hint="eastAsia" w:ascii="宋体" w:hAnsi="宋体" w:cs="宋体"/>
          <w:bCs/>
          <w:color w:val="auto"/>
          <w:sz w:val="24"/>
          <w:highlight w:val="none"/>
        </w:rPr>
      </w:pPr>
      <w:r>
        <w:rPr>
          <w:rFonts w:hint="eastAsia" w:ascii="宋体" w:hAnsi="宋体" w:cs="宋体"/>
          <w:bCs/>
          <w:color w:val="auto"/>
          <w:sz w:val="24"/>
          <w:highlight w:val="none"/>
        </w:rPr>
        <w:t>日  期</w:t>
      </w:r>
      <w:r>
        <w:rPr>
          <w:rFonts w:hint="eastAsia" w:ascii="宋体" w:hAnsi="宋体" w:cs="宋体"/>
          <w:color w:val="auto"/>
          <w:sz w:val="24"/>
          <w:highlight w:val="none"/>
        </w:rPr>
        <w:t>：</w:t>
      </w:r>
      <w:r>
        <w:rPr>
          <w:rFonts w:hint="eastAsia" w:ascii="宋体" w:hAnsi="宋体" w:cs="宋体"/>
          <w:bCs/>
          <w:color w:val="auto"/>
          <w:sz w:val="24"/>
          <w:highlight w:val="none"/>
          <w:lang w:eastAsia="zh-CN"/>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lang w:eastAsia="zh-CN"/>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lang w:eastAsia="zh-CN"/>
        </w:rPr>
        <w:t xml:space="preserve">      </w:t>
      </w:r>
      <w:r>
        <w:rPr>
          <w:rFonts w:hint="eastAsia" w:ascii="宋体" w:hAnsi="宋体" w:cs="宋体"/>
          <w:bCs/>
          <w:color w:val="auto"/>
          <w:sz w:val="24"/>
          <w:highlight w:val="none"/>
        </w:rPr>
        <w:t>日</w:t>
      </w:r>
    </w:p>
    <w:p>
      <w:pPr>
        <w:widowControl/>
        <w:spacing w:line="360" w:lineRule="exact"/>
        <w:jc w:val="left"/>
        <w:rPr>
          <w:rFonts w:hint="eastAsia" w:ascii="宋体" w:hAnsi="宋体" w:cs="宋体"/>
          <w:color w:val="auto"/>
          <w:highlight w:val="none"/>
        </w:rPr>
      </w:pPr>
      <w:r>
        <w:rPr>
          <w:rFonts w:hint="eastAsia" w:ascii="宋体" w:hAnsi="宋体" w:cs="宋体"/>
          <w:color w:val="auto"/>
          <w:highlight w:val="none"/>
        </w:rPr>
        <w:br w:type="page"/>
      </w:r>
    </w:p>
    <w:p>
      <w:pPr>
        <w:widowControl/>
        <w:spacing w:line="360" w:lineRule="exact"/>
        <w:ind w:firstLine="630" w:firstLineChars="196"/>
        <w:jc w:val="left"/>
        <w:rPr>
          <w:rFonts w:hint="eastAsia" w:ascii="宋体" w:hAnsi="宋体" w:cs="宋体"/>
          <w:color w:val="auto"/>
          <w:sz w:val="24"/>
          <w:highlight w:val="none"/>
        </w:rPr>
      </w:pPr>
      <w:r>
        <w:rPr>
          <w:rFonts w:hint="eastAsia" w:ascii="宋体" w:hAnsi="宋体" w:cs="宋体"/>
          <w:b/>
          <w:color w:val="auto"/>
          <w:sz w:val="32"/>
          <w:szCs w:val="32"/>
          <w:highlight w:val="none"/>
        </w:rPr>
        <w:t>格式7</w:t>
      </w:r>
    </w:p>
    <w:p>
      <w:pPr>
        <w:spacing w:line="360" w:lineRule="exact"/>
        <w:jc w:val="center"/>
        <w:outlineLvl w:val="2"/>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供应商类似项目业绩一览表</w:t>
      </w:r>
    </w:p>
    <w:p>
      <w:pPr>
        <w:spacing w:line="360" w:lineRule="exact"/>
        <w:outlineLvl w:val="2"/>
        <w:rPr>
          <w:rFonts w:hint="eastAsia" w:ascii="宋体" w:hAnsi="宋体" w:cs="宋体"/>
          <w:b/>
          <w:bCs/>
          <w:color w:val="auto"/>
          <w:sz w:val="32"/>
          <w:szCs w:val="32"/>
          <w:highlight w:val="none"/>
        </w:rPr>
      </w:pPr>
    </w:p>
    <w:p>
      <w:pPr>
        <w:spacing w:line="360" w:lineRule="exact"/>
        <w:jc w:val="left"/>
        <w:outlineLvl w:val="2"/>
        <w:rPr>
          <w:rFonts w:hint="eastAsia" w:ascii="宋体" w:hAnsi="宋体" w:cs="宋体"/>
          <w:color w:val="auto"/>
          <w:sz w:val="24"/>
          <w:highlight w:val="none"/>
        </w:rPr>
      </w:pPr>
      <w:r>
        <w:rPr>
          <w:rFonts w:hint="eastAsia" w:ascii="宋体" w:hAnsi="宋体" w:cs="宋体"/>
          <w:color w:val="auto"/>
          <w:sz w:val="24"/>
          <w:highlight w:val="none"/>
        </w:rPr>
        <w:t>采购项目编号：</w:t>
      </w:r>
    </w:p>
    <w:tbl>
      <w:tblPr>
        <w:tblStyle w:val="26"/>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pPr>
              <w:spacing w:line="360" w:lineRule="exact"/>
              <w:ind w:firstLine="105" w:firstLineChars="50"/>
              <w:jc w:val="center"/>
              <w:rPr>
                <w:rFonts w:hint="eastAsia" w:ascii="宋体" w:hAnsi="宋体" w:cs="宋体"/>
                <w:b/>
                <w:color w:val="auto"/>
                <w:highlight w:val="none"/>
              </w:rPr>
            </w:pPr>
            <w:r>
              <w:rPr>
                <w:rFonts w:hint="eastAsia" w:ascii="宋体" w:hAnsi="宋体" w:cs="宋体"/>
                <w:b/>
                <w:color w:val="auto"/>
                <w:highlight w:val="none"/>
              </w:rPr>
              <w:t>年份</w:t>
            </w:r>
          </w:p>
        </w:tc>
        <w:tc>
          <w:tcPr>
            <w:tcW w:w="1439" w:type="dxa"/>
            <w:vAlign w:val="center"/>
          </w:tcPr>
          <w:p>
            <w:pPr>
              <w:spacing w:line="360" w:lineRule="exact"/>
              <w:jc w:val="center"/>
              <w:rPr>
                <w:rFonts w:hint="eastAsia" w:ascii="宋体" w:hAnsi="宋体" w:cs="宋体"/>
                <w:b/>
                <w:color w:val="auto"/>
                <w:highlight w:val="none"/>
              </w:rPr>
            </w:pPr>
            <w:r>
              <w:rPr>
                <w:rFonts w:hint="eastAsia" w:ascii="宋体" w:hAnsi="宋体" w:cs="宋体"/>
                <w:b/>
                <w:color w:val="auto"/>
                <w:highlight w:val="none"/>
              </w:rPr>
              <w:t>用户名称</w:t>
            </w:r>
          </w:p>
        </w:tc>
        <w:tc>
          <w:tcPr>
            <w:tcW w:w="1319" w:type="dxa"/>
            <w:vAlign w:val="center"/>
          </w:tcPr>
          <w:p>
            <w:pPr>
              <w:spacing w:line="360" w:lineRule="exact"/>
              <w:jc w:val="center"/>
              <w:rPr>
                <w:rFonts w:hint="eastAsia" w:ascii="宋体" w:hAnsi="宋体" w:cs="宋体"/>
                <w:b/>
                <w:color w:val="auto"/>
                <w:highlight w:val="none"/>
              </w:rPr>
            </w:pPr>
            <w:r>
              <w:rPr>
                <w:rFonts w:hint="eastAsia" w:ascii="宋体" w:hAnsi="宋体" w:cs="宋体"/>
                <w:b/>
                <w:color w:val="auto"/>
                <w:highlight w:val="none"/>
              </w:rPr>
              <w:t>项目名称</w:t>
            </w:r>
          </w:p>
        </w:tc>
        <w:tc>
          <w:tcPr>
            <w:tcW w:w="1160" w:type="dxa"/>
            <w:vAlign w:val="center"/>
          </w:tcPr>
          <w:p>
            <w:pPr>
              <w:spacing w:line="360" w:lineRule="exact"/>
              <w:jc w:val="center"/>
              <w:rPr>
                <w:rFonts w:hint="eastAsia" w:ascii="宋体" w:hAnsi="宋体" w:cs="宋体"/>
                <w:b/>
                <w:color w:val="auto"/>
                <w:highlight w:val="none"/>
              </w:rPr>
            </w:pPr>
            <w:r>
              <w:rPr>
                <w:rFonts w:hint="eastAsia" w:ascii="宋体" w:hAnsi="宋体" w:cs="宋体"/>
                <w:b/>
                <w:color w:val="auto"/>
                <w:highlight w:val="none"/>
              </w:rPr>
              <w:t>完成时间</w:t>
            </w:r>
          </w:p>
        </w:tc>
        <w:tc>
          <w:tcPr>
            <w:tcW w:w="1421" w:type="dxa"/>
            <w:vAlign w:val="center"/>
          </w:tcPr>
          <w:p>
            <w:pPr>
              <w:spacing w:line="360" w:lineRule="exact"/>
              <w:ind w:firstLine="105" w:firstLineChars="50"/>
              <w:jc w:val="center"/>
              <w:rPr>
                <w:rFonts w:hint="eastAsia" w:ascii="宋体" w:hAnsi="宋体" w:cs="宋体"/>
                <w:b/>
                <w:color w:val="auto"/>
                <w:highlight w:val="none"/>
              </w:rPr>
            </w:pPr>
            <w:r>
              <w:rPr>
                <w:rFonts w:hint="eastAsia" w:ascii="宋体" w:hAnsi="宋体" w:cs="宋体"/>
                <w:b/>
                <w:color w:val="auto"/>
                <w:highlight w:val="none"/>
              </w:rPr>
              <w:t>合同金额</w:t>
            </w:r>
          </w:p>
        </w:tc>
        <w:tc>
          <w:tcPr>
            <w:tcW w:w="1614" w:type="dxa"/>
            <w:tcBorders>
              <w:right w:val="single" w:color="auto" w:sz="4" w:space="0"/>
            </w:tcBorders>
            <w:vAlign w:val="center"/>
          </w:tcPr>
          <w:p>
            <w:pPr>
              <w:spacing w:line="360" w:lineRule="exact"/>
              <w:jc w:val="center"/>
              <w:rPr>
                <w:rFonts w:hint="eastAsia" w:ascii="宋体" w:hAnsi="宋体" w:cs="宋体"/>
                <w:b/>
                <w:color w:val="auto"/>
                <w:highlight w:val="none"/>
              </w:rPr>
            </w:pPr>
            <w:r>
              <w:rPr>
                <w:rFonts w:hint="eastAsia" w:ascii="宋体" w:hAnsi="宋体" w:cs="宋体"/>
                <w:b/>
                <w:color w:val="auto"/>
                <w:highlight w:val="none"/>
              </w:rPr>
              <w:t>是否通过验收</w:t>
            </w:r>
          </w:p>
        </w:tc>
        <w:tc>
          <w:tcPr>
            <w:tcW w:w="1387" w:type="dxa"/>
            <w:tcBorders>
              <w:left w:val="single" w:color="auto" w:sz="4" w:space="0"/>
            </w:tcBorders>
            <w:vAlign w:val="center"/>
          </w:tcPr>
          <w:p>
            <w:pPr>
              <w:spacing w:line="360" w:lineRule="exact"/>
              <w:jc w:val="center"/>
              <w:rPr>
                <w:rFonts w:hint="eastAsia" w:ascii="宋体" w:hAnsi="宋体" w:cs="宋体"/>
                <w:b/>
                <w:color w:val="auto"/>
                <w:highlight w:val="none"/>
              </w:rPr>
            </w:pPr>
            <w:r>
              <w:rPr>
                <w:rFonts w:hint="eastAsia" w:ascii="宋体" w:hAnsi="宋体" w:cs="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360" w:lineRule="exact"/>
              <w:jc w:val="center"/>
              <w:rPr>
                <w:rFonts w:hint="eastAsia" w:ascii="宋体" w:hAnsi="宋体" w:cs="宋体"/>
                <w:color w:val="auto"/>
                <w:highlight w:val="none"/>
              </w:rPr>
            </w:pPr>
          </w:p>
        </w:tc>
        <w:tc>
          <w:tcPr>
            <w:tcW w:w="1439" w:type="dxa"/>
            <w:vAlign w:val="center"/>
          </w:tcPr>
          <w:p>
            <w:pPr>
              <w:spacing w:line="360" w:lineRule="exact"/>
              <w:jc w:val="center"/>
              <w:rPr>
                <w:rFonts w:hint="eastAsia" w:ascii="宋体" w:hAnsi="宋体" w:cs="宋体"/>
                <w:color w:val="auto"/>
                <w:highlight w:val="none"/>
              </w:rPr>
            </w:pPr>
          </w:p>
        </w:tc>
        <w:tc>
          <w:tcPr>
            <w:tcW w:w="1319" w:type="dxa"/>
            <w:vAlign w:val="center"/>
          </w:tcPr>
          <w:p>
            <w:pPr>
              <w:spacing w:line="360" w:lineRule="exact"/>
              <w:jc w:val="center"/>
              <w:rPr>
                <w:rFonts w:hint="eastAsia" w:ascii="宋体" w:hAnsi="宋体" w:cs="宋体"/>
                <w:color w:val="auto"/>
                <w:highlight w:val="none"/>
              </w:rPr>
            </w:pPr>
          </w:p>
        </w:tc>
        <w:tc>
          <w:tcPr>
            <w:tcW w:w="1160" w:type="dxa"/>
            <w:vAlign w:val="center"/>
          </w:tcPr>
          <w:p>
            <w:pPr>
              <w:spacing w:line="360" w:lineRule="exact"/>
              <w:jc w:val="center"/>
              <w:rPr>
                <w:rFonts w:hint="eastAsia" w:ascii="宋体" w:hAnsi="宋体" w:cs="宋体"/>
                <w:color w:val="auto"/>
                <w:highlight w:val="none"/>
              </w:rPr>
            </w:pPr>
          </w:p>
        </w:tc>
        <w:tc>
          <w:tcPr>
            <w:tcW w:w="1421" w:type="dxa"/>
            <w:vAlign w:val="center"/>
          </w:tcPr>
          <w:p>
            <w:pPr>
              <w:spacing w:line="360" w:lineRule="exact"/>
              <w:jc w:val="center"/>
              <w:rPr>
                <w:rFonts w:hint="eastAsia" w:ascii="宋体" w:hAnsi="宋体" w:cs="宋体"/>
                <w:color w:val="auto"/>
                <w:highlight w:val="none"/>
              </w:rPr>
            </w:pPr>
          </w:p>
        </w:tc>
        <w:tc>
          <w:tcPr>
            <w:tcW w:w="1614" w:type="dxa"/>
            <w:tcBorders>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left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360" w:lineRule="exact"/>
              <w:jc w:val="center"/>
              <w:rPr>
                <w:rFonts w:hint="eastAsia" w:ascii="宋体" w:hAnsi="宋体" w:cs="宋体"/>
                <w:color w:val="auto"/>
                <w:highlight w:val="none"/>
              </w:rPr>
            </w:pPr>
          </w:p>
        </w:tc>
        <w:tc>
          <w:tcPr>
            <w:tcW w:w="1439" w:type="dxa"/>
            <w:vAlign w:val="center"/>
          </w:tcPr>
          <w:p>
            <w:pPr>
              <w:spacing w:line="360" w:lineRule="exact"/>
              <w:jc w:val="center"/>
              <w:rPr>
                <w:rFonts w:hint="eastAsia" w:ascii="宋体" w:hAnsi="宋体" w:cs="宋体"/>
                <w:color w:val="auto"/>
                <w:highlight w:val="none"/>
              </w:rPr>
            </w:pPr>
          </w:p>
        </w:tc>
        <w:tc>
          <w:tcPr>
            <w:tcW w:w="1319" w:type="dxa"/>
            <w:vAlign w:val="center"/>
          </w:tcPr>
          <w:p>
            <w:pPr>
              <w:spacing w:line="360" w:lineRule="exact"/>
              <w:jc w:val="center"/>
              <w:rPr>
                <w:rFonts w:hint="eastAsia" w:ascii="宋体" w:hAnsi="宋体" w:cs="宋体"/>
                <w:color w:val="auto"/>
                <w:highlight w:val="none"/>
              </w:rPr>
            </w:pPr>
          </w:p>
        </w:tc>
        <w:tc>
          <w:tcPr>
            <w:tcW w:w="1160" w:type="dxa"/>
            <w:vAlign w:val="center"/>
          </w:tcPr>
          <w:p>
            <w:pPr>
              <w:spacing w:line="360" w:lineRule="exact"/>
              <w:jc w:val="center"/>
              <w:rPr>
                <w:rFonts w:hint="eastAsia" w:ascii="宋体" w:hAnsi="宋体" w:cs="宋体"/>
                <w:color w:val="auto"/>
                <w:highlight w:val="none"/>
              </w:rPr>
            </w:pPr>
          </w:p>
        </w:tc>
        <w:tc>
          <w:tcPr>
            <w:tcW w:w="1421" w:type="dxa"/>
            <w:vAlign w:val="center"/>
          </w:tcPr>
          <w:p>
            <w:pPr>
              <w:spacing w:line="360" w:lineRule="exact"/>
              <w:jc w:val="center"/>
              <w:rPr>
                <w:rFonts w:hint="eastAsia" w:ascii="宋体" w:hAnsi="宋体" w:cs="宋体"/>
                <w:color w:val="auto"/>
                <w:highlight w:val="none"/>
              </w:rPr>
            </w:pPr>
          </w:p>
        </w:tc>
        <w:tc>
          <w:tcPr>
            <w:tcW w:w="1614" w:type="dxa"/>
            <w:tcBorders>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left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360" w:lineRule="exact"/>
              <w:jc w:val="center"/>
              <w:rPr>
                <w:rFonts w:hint="eastAsia" w:ascii="宋体" w:hAnsi="宋体" w:cs="宋体"/>
                <w:color w:val="auto"/>
                <w:highlight w:val="none"/>
              </w:rPr>
            </w:pPr>
          </w:p>
        </w:tc>
        <w:tc>
          <w:tcPr>
            <w:tcW w:w="1439" w:type="dxa"/>
            <w:vAlign w:val="center"/>
          </w:tcPr>
          <w:p>
            <w:pPr>
              <w:spacing w:line="360" w:lineRule="exact"/>
              <w:jc w:val="center"/>
              <w:rPr>
                <w:rFonts w:hint="eastAsia" w:ascii="宋体" w:hAnsi="宋体" w:cs="宋体"/>
                <w:color w:val="auto"/>
                <w:highlight w:val="none"/>
              </w:rPr>
            </w:pPr>
          </w:p>
        </w:tc>
        <w:tc>
          <w:tcPr>
            <w:tcW w:w="1319" w:type="dxa"/>
            <w:vAlign w:val="center"/>
          </w:tcPr>
          <w:p>
            <w:pPr>
              <w:spacing w:line="360" w:lineRule="exact"/>
              <w:jc w:val="center"/>
              <w:rPr>
                <w:rFonts w:hint="eastAsia" w:ascii="宋体" w:hAnsi="宋体" w:cs="宋体"/>
                <w:color w:val="auto"/>
                <w:highlight w:val="none"/>
              </w:rPr>
            </w:pPr>
          </w:p>
        </w:tc>
        <w:tc>
          <w:tcPr>
            <w:tcW w:w="1160" w:type="dxa"/>
            <w:vAlign w:val="center"/>
          </w:tcPr>
          <w:p>
            <w:pPr>
              <w:spacing w:line="360" w:lineRule="exact"/>
              <w:jc w:val="center"/>
              <w:rPr>
                <w:rFonts w:hint="eastAsia" w:ascii="宋体" w:hAnsi="宋体" w:cs="宋体"/>
                <w:color w:val="auto"/>
                <w:highlight w:val="none"/>
              </w:rPr>
            </w:pPr>
          </w:p>
        </w:tc>
        <w:tc>
          <w:tcPr>
            <w:tcW w:w="1421" w:type="dxa"/>
            <w:vAlign w:val="center"/>
          </w:tcPr>
          <w:p>
            <w:pPr>
              <w:spacing w:line="360" w:lineRule="exact"/>
              <w:jc w:val="center"/>
              <w:rPr>
                <w:rFonts w:hint="eastAsia" w:ascii="宋体" w:hAnsi="宋体" w:cs="宋体"/>
                <w:color w:val="auto"/>
                <w:highlight w:val="none"/>
              </w:rPr>
            </w:pPr>
          </w:p>
        </w:tc>
        <w:tc>
          <w:tcPr>
            <w:tcW w:w="1614" w:type="dxa"/>
            <w:tcBorders>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left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360" w:lineRule="exact"/>
              <w:jc w:val="center"/>
              <w:rPr>
                <w:rFonts w:hint="eastAsia" w:ascii="宋体" w:hAnsi="宋体" w:cs="宋体"/>
                <w:color w:val="auto"/>
                <w:highlight w:val="none"/>
              </w:rPr>
            </w:pPr>
          </w:p>
        </w:tc>
        <w:tc>
          <w:tcPr>
            <w:tcW w:w="1439" w:type="dxa"/>
            <w:tcBorders>
              <w:right w:val="single" w:color="auto" w:sz="4" w:space="0"/>
            </w:tcBorders>
            <w:vAlign w:val="center"/>
          </w:tcPr>
          <w:p>
            <w:pPr>
              <w:spacing w:line="360" w:lineRule="exact"/>
              <w:jc w:val="center"/>
              <w:rPr>
                <w:rFonts w:hint="eastAsia" w:ascii="宋体" w:hAnsi="宋体" w:cs="宋体"/>
                <w:color w:val="auto"/>
                <w:highlight w:val="none"/>
              </w:rPr>
            </w:pPr>
          </w:p>
        </w:tc>
        <w:tc>
          <w:tcPr>
            <w:tcW w:w="1319" w:type="dxa"/>
            <w:tcBorders>
              <w:left w:val="single" w:color="auto" w:sz="4" w:space="0"/>
            </w:tcBorders>
            <w:vAlign w:val="center"/>
          </w:tcPr>
          <w:p>
            <w:pPr>
              <w:spacing w:line="360" w:lineRule="exact"/>
              <w:jc w:val="center"/>
              <w:rPr>
                <w:rFonts w:hint="eastAsia" w:ascii="宋体" w:hAnsi="宋体" w:cs="宋体"/>
                <w:color w:val="auto"/>
                <w:highlight w:val="none"/>
              </w:rPr>
            </w:pPr>
          </w:p>
        </w:tc>
        <w:tc>
          <w:tcPr>
            <w:tcW w:w="1160" w:type="dxa"/>
            <w:vAlign w:val="center"/>
          </w:tcPr>
          <w:p>
            <w:pPr>
              <w:spacing w:line="360" w:lineRule="exact"/>
              <w:jc w:val="center"/>
              <w:rPr>
                <w:rFonts w:hint="eastAsia" w:ascii="宋体" w:hAnsi="宋体" w:cs="宋体"/>
                <w:color w:val="auto"/>
                <w:highlight w:val="none"/>
              </w:rPr>
            </w:pPr>
          </w:p>
        </w:tc>
        <w:tc>
          <w:tcPr>
            <w:tcW w:w="1421" w:type="dxa"/>
            <w:vAlign w:val="center"/>
          </w:tcPr>
          <w:p>
            <w:pPr>
              <w:spacing w:line="360" w:lineRule="exact"/>
              <w:jc w:val="center"/>
              <w:rPr>
                <w:rFonts w:hint="eastAsia" w:ascii="宋体" w:hAnsi="宋体" w:cs="宋体"/>
                <w:color w:val="auto"/>
                <w:highlight w:val="none"/>
              </w:rPr>
            </w:pPr>
          </w:p>
        </w:tc>
        <w:tc>
          <w:tcPr>
            <w:tcW w:w="1614" w:type="dxa"/>
            <w:tcBorders>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left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360" w:lineRule="exact"/>
              <w:rPr>
                <w:rFonts w:hint="eastAsia" w:ascii="宋体" w:hAnsi="宋体" w:cs="宋体"/>
                <w:color w:val="auto"/>
                <w:highlight w:val="none"/>
              </w:rPr>
            </w:pPr>
          </w:p>
        </w:tc>
        <w:tc>
          <w:tcPr>
            <w:tcW w:w="1439" w:type="dxa"/>
            <w:vAlign w:val="center"/>
          </w:tcPr>
          <w:p>
            <w:pPr>
              <w:spacing w:line="360" w:lineRule="exact"/>
              <w:rPr>
                <w:rFonts w:hint="eastAsia" w:ascii="宋体" w:hAnsi="宋体" w:cs="宋体"/>
                <w:color w:val="auto"/>
                <w:highlight w:val="none"/>
              </w:rPr>
            </w:pPr>
          </w:p>
        </w:tc>
        <w:tc>
          <w:tcPr>
            <w:tcW w:w="1319" w:type="dxa"/>
            <w:vAlign w:val="center"/>
          </w:tcPr>
          <w:p>
            <w:pPr>
              <w:spacing w:line="360" w:lineRule="exact"/>
              <w:rPr>
                <w:rFonts w:hint="eastAsia" w:ascii="宋体" w:hAnsi="宋体" w:cs="宋体"/>
                <w:color w:val="auto"/>
                <w:highlight w:val="none"/>
              </w:rPr>
            </w:pPr>
          </w:p>
        </w:tc>
        <w:tc>
          <w:tcPr>
            <w:tcW w:w="1160" w:type="dxa"/>
            <w:vAlign w:val="center"/>
          </w:tcPr>
          <w:p>
            <w:pPr>
              <w:spacing w:line="360" w:lineRule="exact"/>
              <w:rPr>
                <w:rFonts w:hint="eastAsia" w:ascii="宋体" w:hAnsi="宋体" w:cs="宋体"/>
                <w:color w:val="auto"/>
                <w:highlight w:val="none"/>
              </w:rPr>
            </w:pPr>
          </w:p>
        </w:tc>
        <w:tc>
          <w:tcPr>
            <w:tcW w:w="1421" w:type="dxa"/>
            <w:tcBorders>
              <w:right w:val="single" w:color="auto" w:sz="4" w:space="0"/>
            </w:tcBorders>
            <w:vAlign w:val="center"/>
          </w:tcPr>
          <w:p>
            <w:pPr>
              <w:spacing w:line="360" w:lineRule="exact"/>
              <w:rPr>
                <w:rFonts w:hint="eastAsia" w:ascii="宋体" w:hAnsi="宋体" w:cs="宋体"/>
                <w:color w:val="auto"/>
                <w:highlight w:val="none"/>
              </w:rPr>
            </w:pPr>
          </w:p>
        </w:tc>
        <w:tc>
          <w:tcPr>
            <w:tcW w:w="1614" w:type="dxa"/>
            <w:tcBorders>
              <w:left w:val="single" w:color="auto" w:sz="4" w:space="0"/>
              <w:right w:val="single" w:color="auto" w:sz="4" w:space="0"/>
            </w:tcBorders>
            <w:vAlign w:val="center"/>
          </w:tcPr>
          <w:p>
            <w:pPr>
              <w:spacing w:line="360" w:lineRule="exact"/>
              <w:rPr>
                <w:rFonts w:hint="eastAsia" w:ascii="宋体" w:hAnsi="宋体" w:cs="宋体"/>
                <w:color w:val="auto"/>
                <w:highlight w:val="none"/>
              </w:rPr>
            </w:pPr>
          </w:p>
        </w:tc>
        <w:tc>
          <w:tcPr>
            <w:tcW w:w="1387" w:type="dxa"/>
            <w:tcBorders>
              <w:left w:val="single" w:color="auto" w:sz="4" w:space="0"/>
            </w:tcBorders>
            <w:vAlign w:val="center"/>
          </w:tcPr>
          <w:p>
            <w:pPr>
              <w:spacing w:line="360" w:lineRule="exact"/>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360" w:lineRule="exact"/>
              <w:jc w:val="center"/>
              <w:rPr>
                <w:rFonts w:hint="eastAsia" w:ascii="宋体" w:hAnsi="宋体" w:cs="宋体"/>
                <w:color w:val="auto"/>
                <w:highlight w:val="none"/>
              </w:rPr>
            </w:pPr>
          </w:p>
        </w:tc>
        <w:tc>
          <w:tcPr>
            <w:tcW w:w="1439" w:type="dxa"/>
            <w:vAlign w:val="center"/>
          </w:tcPr>
          <w:p>
            <w:pPr>
              <w:spacing w:line="360" w:lineRule="exact"/>
              <w:jc w:val="center"/>
              <w:rPr>
                <w:rFonts w:hint="eastAsia" w:ascii="宋体" w:hAnsi="宋体" w:cs="宋体"/>
                <w:color w:val="auto"/>
                <w:highlight w:val="none"/>
              </w:rPr>
            </w:pPr>
          </w:p>
        </w:tc>
        <w:tc>
          <w:tcPr>
            <w:tcW w:w="1319" w:type="dxa"/>
            <w:vAlign w:val="center"/>
          </w:tcPr>
          <w:p>
            <w:pPr>
              <w:spacing w:line="360" w:lineRule="exact"/>
              <w:jc w:val="center"/>
              <w:rPr>
                <w:rFonts w:hint="eastAsia" w:ascii="宋体" w:hAnsi="宋体" w:cs="宋体"/>
                <w:color w:val="auto"/>
                <w:highlight w:val="none"/>
              </w:rPr>
            </w:pPr>
          </w:p>
        </w:tc>
        <w:tc>
          <w:tcPr>
            <w:tcW w:w="1160" w:type="dxa"/>
            <w:vAlign w:val="center"/>
          </w:tcPr>
          <w:p>
            <w:pPr>
              <w:spacing w:line="360" w:lineRule="exact"/>
              <w:jc w:val="center"/>
              <w:rPr>
                <w:rFonts w:hint="eastAsia" w:ascii="宋体" w:hAnsi="宋体" w:cs="宋体"/>
                <w:color w:val="auto"/>
                <w:highlight w:val="none"/>
              </w:rPr>
            </w:pPr>
          </w:p>
        </w:tc>
        <w:tc>
          <w:tcPr>
            <w:tcW w:w="1421" w:type="dxa"/>
            <w:tcBorders>
              <w:right w:val="single" w:color="auto" w:sz="4" w:space="0"/>
            </w:tcBorders>
            <w:vAlign w:val="center"/>
          </w:tcPr>
          <w:p>
            <w:pPr>
              <w:spacing w:line="360" w:lineRule="exact"/>
              <w:jc w:val="center"/>
              <w:rPr>
                <w:rFonts w:hint="eastAsia" w:ascii="宋体" w:hAnsi="宋体" w:cs="宋体"/>
                <w:color w:val="auto"/>
                <w:highlight w:val="none"/>
              </w:rPr>
            </w:pPr>
          </w:p>
        </w:tc>
        <w:tc>
          <w:tcPr>
            <w:tcW w:w="1614" w:type="dxa"/>
            <w:tcBorders>
              <w:left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left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360" w:lineRule="exact"/>
              <w:jc w:val="center"/>
              <w:rPr>
                <w:rFonts w:hint="eastAsia" w:ascii="宋体" w:hAnsi="宋体" w:cs="宋体"/>
                <w:color w:val="auto"/>
                <w:highlight w:val="none"/>
              </w:rPr>
            </w:pPr>
          </w:p>
        </w:tc>
        <w:tc>
          <w:tcPr>
            <w:tcW w:w="1439" w:type="dxa"/>
            <w:vAlign w:val="center"/>
          </w:tcPr>
          <w:p>
            <w:pPr>
              <w:spacing w:line="360" w:lineRule="exact"/>
              <w:jc w:val="center"/>
              <w:rPr>
                <w:rFonts w:hint="eastAsia" w:ascii="宋体" w:hAnsi="宋体" w:cs="宋体"/>
                <w:color w:val="auto"/>
                <w:highlight w:val="none"/>
              </w:rPr>
            </w:pPr>
          </w:p>
        </w:tc>
        <w:tc>
          <w:tcPr>
            <w:tcW w:w="1319" w:type="dxa"/>
            <w:vAlign w:val="center"/>
          </w:tcPr>
          <w:p>
            <w:pPr>
              <w:spacing w:line="360" w:lineRule="exact"/>
              <w:jc w:val="center"/>
              <w:rPr>
                <w:rFonts w:hint="eastAsia" w:ascii="宋体" w:hAnsi="宋体" w:cs="宋体"/>
                <w:color w:val="auto"/>
                <w:highlight w:val="none"/>
              </w:rPr>
            </w:pPr>
          </w:p>
        </w:tc>
        <w:tc>
          <w:tcPr>
            <w:tcW w:w="1160" w:type="dxa"/>
            <w:vAlign w:val="center"/>
          </w:tcPr>
          <w:p>
            <w:pPr>
              <w:spacing w:line="360" w:lineRule="exact"/>
              <w:jc w:val="center"/>
              <w:rPr>
                <w:rFonts w:hint="eastAsia" w:ascii="宋体" w:hAnsi="宋体" w:cs="宋体"/>
                <w:color w:val="auto"/>
                <w:highlight w:val="none"/>
              </w:rPr>
            </w:pPr>
          </w:p>
        </w:tc>
        <w:tc>
          <w:tcPr>
            <w:tcW w:w="1421" w:type="dxa"/>
            <w:tcBorders>
              <w:right w:val="single" w:color="auto" w:sz="4" w:space="0"/>
            </w:tcBorders>
            <w:vAlign w:val="center"/>
          </w:tcPr>
          <w:p>
            <w:pPr>
              <w:spacing w:line="360" w:lineRule="exact"/>
              <w:jc w:val="center"/>
              <w:rPr>
                <w:rFonts w:hint="eastAsia" w:ascii="宋体" w:hAnsi="宋体" w:cs="宋体"/>
                <w:color w:val="auto"/>
                <w:highlight w:val="none"/>
              </w:rPr>
            </w:pPr>
          </w:p>
        </w:tc>
        <w:tc>
          <w:tcPr>
            <w:tcW w:w="1614" w:type="dxa"/>
            <w:tcBorders>
              <w:left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left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pPr>
              <w:spacing w:line="360" w:lineRule="exact"/>
              <w:jc w:val="center"/>
              <w:rPr>
                <w:rFonts w:hint="eastAsia" w:ascii="宋体" w:hAnsi="宋体" w:cs="宋体"/>
                <w:color w:val="auto"/>
                <w:highlight w:val="none"/>
              </w:rPr>
            </w:pPr>
          </w:p>
        </w:tc>
        <w:tc>
          <w:tcPr>
            <w:tcW w:w="1439" w:type="dxa"/>
            <w:tcBorders>
              <w:bottom w:val="single" w:color="auto" w:sz="4" w:space="0"/>
            </w:tcBorders>
            <w:vAlign w:val="center"/>
          </w:tcPr>
          <w:p>
            <w:pPr>
              <w:spacing w:line="360" w:lineRule="exact"/>
              <w:jc w:val="center"/>
              <w:rPr>
                <w:rFonts w:hint="eastAsia" w:ascii="宋体" w:hAnsi="宋体" w:cs="宋体"/>
                <w:color w:val="auto"/>
                <w:highlight w:val="none"/>
              </w:rPr>
            </w:pPr>
          </w:p>
        </w:tc>
        <w:tc>
          <w:tcPr>
            <w:tcW w:w="1319" w:type="dxa"/>
            <w:tcBorders>
              <w:bottom w:val="single" w:color="auto" w:sz="4" w:space="0"/>
            </w:tcBorders>
            <w:vAlign w:val="center"/>
          </w:tcPr>
          <w:p>
            <w:pPr>
              <w:spacing w:line="360" w:lineRule="exact"/>
              <w:jc w:val="center"/>
              <w:rPr>
                <w:rFonts w:hint="eastAsia" w:ascii="宋体" w:hAnsi="宋体" w:cs="宋体"/>
                <w:color w:val="auto"/>
                <w:highlight w:val="none"/>
              </w:rPr>
            </w:pPr>
          </w:p>
        </w:tc>
        <w:tc>
          <w:tcPr>
            <w:tcW w:w="1160" w:type="dxa"/>
            <w:tcBorders>
              <w:bottom w:val="single" w:color="auto" w:sz="4" w:space="0"/>
            </w:tcBorders>
            <w:vAlign w:val="center"/>
          </w:tcPr>
          <w:p>
            <w:pPr>
              <w:spacing w:line="360" w:lineRule="exact"/>
              <w:jc w:val="center"/>
              <w:rPr>
                <w:rFonts w:hint="eastAsia" w:ascii="宋体" w:hAnsi="宋体" w:cs="宋体"/>
                <w:color w:val="auto"/>
                <w:highlight w:val="none"/>
              </w:rPr>
            </w:pPr>
          </w:p>
        </w:tc>
        <w:tc>
          <w:tcPr>
            <w:tcW w:w="1421" w:type="dxa"/>
            <w:tcBorders>
              <w:bottom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614" w:type="dxa"/>
            <w:tcBorders>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left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439"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319"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160"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421"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top w:val="single" w:color="auto" w:sz="4" w:space="0"/>
              <w:left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439"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319"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160"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421"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top w:val="single" w:color="auto" w:sz="4" w:space="0"/>
              <w:left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439"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319"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160"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421"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top w:val="single" w:color="auto" w:sz="4" w:space="0"/>
              <w:left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pPr>
              <w:spacing w:line="360" w:lineRule="exact"/>
              <w:jc w:val="center"/>
              <w:rPr>
                <w:rFonts w:hint="eastAsia" w:ascii="宋体" w:hAnsi="宋体" w:cs="宋体"/>
                <w:color w:val="auto"/>
                <w:highlight w:val="none"/>
              </w:rPr>
            </w:pPr>
          </w:p>
        </w:tc>
        <w:tc>
          <w:tcPr>
            <w:tcW w:w="1439" w:type="dxa"/>
            <w:tcBorders>
              <w:top w:val="single" w:color="auto" w:sz="4" w:space="0"/>
            </w:tcBorders>
            <w:vAlign w:val="center"/>
          </w:tcPr>
          <w:p>
            <w:pPr>
              <w:spacing w:line="360" w:lineRule="exact"/>
              <w:jc w:val="center"/>
              <w:rPr>
                <w:rFonts w:hint="eastAsia" w:ascii="宋体" w:hAnsi="宋体" w:cs="宋体"/>
                <w:color w:val="auto"/>
                <w:highlight w:val="none"/>
              </w:rPr>
            </w:pPr>
          </w:p>
        </w:tc>
        <w:tc>
          <w:tcPr>
            <w:tcW w:w="1319" w:type="dxa"/>
            <w:tcBorders>
              <w:top w:val="single" w:color="auto" w:sz="4" w:space="0"/>
            </w:tcBorders>
            <w:vAlign w:val="center"/>
          </w:tcPr>
          <w:p>
            <w:pPr>
              <w:spacing w:line="360" w:lineRule="exact"/>
              <w:jc w:val="center"/>
              <w:rPr>
                <w:rFonts w:hint="eastAsia" w:ascii="宋体" w:hAnsi="宋体" w:cs="宋体"/>
                <w:color w:val="auto"/>
                <w:highlight w:val="none"/>
              </w:rPr>
            </w:pPr>
          </w:p>
        </w:tc>
        <w:tc>
          <w:tcPr>
            <w:tcW w:w="1160" w:type="dxa"/>
            <w:tcBorders>
              <w:top w:val="single" w:color="auto" w:sz="4" w:space="0"/>
            </w:tcBorders>
            <w:vAlign w:val="center"/>
          </w:tcPr>
          <w:p>
            <w:pPr>
              <w:spacing w:line="360" w:lineRule="exact"/>
              <w:jc w:val="center"/>
              <w:rPr>
                <w:rFonts w:hint="eastAsia" w:ascii="宋体" w:hAnsi="宋体" w:cs="宋体"/>
                <w:color w:val="auto"/>
                <w:highlight w:val="none"/>
              </w:rPr>
            </w:pPr>
          </w:p>
        </w:tc>
        <w:tc>
          <w:tcPr>
            <w:tcW w:w="1421" w:type="dxa"/>
            <w:tcBorders>
              <w:top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614" w:type="dxa"/>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top w:val="single" w:color="auto" w:sz="4" w:space="0"/>
              <w:left w:val="single" w:color="auto" w:sz="4" w:space="0"/>
            </w:tcBorders>
            <w:vAlign w:val="center"/>
          </w:tcPr>
          <w:p>
            <w:pPr>
              <w:spacing w:line="360" w:lineRule="exact"/>
              <w:jc w:val="center"/>
              <w:rPr>
                <w:rFonts w:hint="eastAsia" w:ascii="宋体" w:hAnsi="宋体" w:cs="宋体"/>
                <w:color w:val="auto"/>
                <w:highlight w:val="none"/>
              </w:rPr>
            </w:pPr>
          </w:p>
        </w:tc>
      </w:tr>
    </w:tbl>
    <w:p>
      <w:pPr>
        <w:pStyle w:val="55"/>
        <w:spacing w:line="360" w:lineRule="exact"/>
        <w:ind w:firstLine="480"/>
        <w:rPr>
          <w:rFonts w:hint="eastAsia" w:ascii="宋体" w:hAnsi="宋体" w:eastAsia="宋体" w:cs="宋体"/>
          <w:color w:val="auto"/>
          <w:highlight w:val="none"/>
        </w:rPr>
      </w:pP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注：以上业绩需提供询价通知书要求的有关书面证明材料。</w:t>
      </w:r>
    </w:p>
    <w:p>
      <w:pPr>
        <w:tabs>
          <w:tab w:val="left" w:pos="555"/>
          <w:tab w:val="left" w:pos="2214"/>
          <w:tab w:val="left" w:pos="3774"/>
          <w:tab w:val="left" w:pos="4854"/>
          <w:tab w:val="left" w:pos="5934"/>
          <w:tab w:val="left" w:pos="7014"/>
          <w:tab w:val="left" w:pos="8214"/>
          <w:tab w:val="left" w:pos="10134"/>
          <w:tab w:val="left" w:pos="11124"/>
        </w:tabs>
        <w:spacing w:line="360" w:lineRule="exact"/>
        <w:ind w:firstLine="480" w:firstLineChars="200"/>
        <w:rPr>
          <w:rFonts w:hint="eastAsia" w:ascii="宋体" w:hAnsi="宋体" w:cs="宋体"/>
          <w:color w:val="auto"/>
          <w:sz w:val="24"/>
          <w:highlight w:val="none"/>
        </w:rPr>
      </w:pPr>
    </w:p>
    <w:p>
      <w:pPr>
        <w:spacing w:line="360" w:lineRule="exact"/>
        <w:ind w:left="360"/>
        <w:jc w:val="center"/>
        <w:rPr>
          <w:rFonts w:hint="eastAsia" w:ascii="宋体" w:hAnsi="宋体" w:cs="宋体"/>
          <w:color w:val="auto"/>
          <w:sz w:val="24"/>
          <w:highlight w:val="none"/>
        </w:rPr>
      </w:pPr>
    </w:p>
    <w:p>
      <w:pPr>
        <w:spacing w:line="360" w:lineRule="exact"/>
        <w:jc w:val="left"/>
        <w:rPr>
          <w:rFonts w:hint="eastAsia" w:ascii="宋体" w:hAnsi="宋体" w:cs="宋体"/>
          <w:color w:val="auto"/>
          <w:highlight w:val="none"/>
        </w:rPr>
      </w:pPr>
    </w:p>
    <w:p>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（盖单位公章）</w:t>
      </w:r>
    </w:p>
    <w:p>
      <w:pPr>
        <w:spacing w:line="3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法定代表人/单位负责人或授权代表（签字或加盖个人印章）：</w:t>
      </w:r>
      <w:r>
        <w:rPr>
          <w:rFonts w:hint="eastAsia" w:ascii="宋体" w:hAnsi="宋体" w:cs="宋体"/>
          <w:color w:val="auto"/>
          <w:sz w:val="24"/>
          <w:highlight w:val="none"/>
          <w:lang w:eastAsia="zh-CN"/>
        </w:rPr>
        <w:t xml:space="preserve">      </w:t>
      </w:r>
    </w:p>
    <w:p>
      <w:pPr>
        <w:spacing w:line="3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日期</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 xml:space="preserve">      </w:t>
      </w:r>
    </w:p>
    <w:p>
      <w:pPr>
        <w:widowControl/>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br w:type="page"/>
      </w:r>
    </w:p>
    <w:p>
      <w:pPr>
        <w:widowControl/>
        <w:spacing w:line="360" w:lineRule="exact"/>
        <w:ind w:firstLine="630" w:firstLineChars="196"/>
        <w:jc w:val="left"/>
        <w:rPr>
          <w:rFonts w:hint="eastAsia" w:ascii="宋体" w:hAnsi="宋体" w:cs="宋体"/>
          <w:color w:val="auto"/>
          <w:sz w:val="24"/>
          <w:highlight w:val="none"/>
        </w:rPr>
      </w:pPr>
      <w:r>
        <w:rPr>
          <w:rFonts w:hint="eastAsia" w:ascii="宋体" w:hAnsi="宋体" w:cs="宋体"/>
          <w:b/>
          <w:color w:val="auto"/>
          <w:sz w:val="32"/>
          <w:szCs w:val="32"/>
          <w:highlight w:val="none"/>
        </w:rPr>
        <w:t>格式8</w:t>
      </w:r>
    </w:p>
    <w:p>
      <w:pPr>
        <w:spacing w:line="360" w:lineRule="exact"/>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供应商本项目技术、服务人员情况表</w:t>
      </w:r>
    </w:p>
    <w:p>
      <w:pPr>
        <w:spacing w:line="360" w:lineRule="exact"/>
        <w:jc w:val="center"/>
        <w:outlineLvl w:val="2"/>
        <w:rPr>
          <w:rFonts w:hint="eastAsia" w:ascii="宋体" w:hAnsi="宋体" w:cs="宋体"/>
          <w:b/>
          <w:color w:val="auto"/>
          <w:sz w:val="32"/>
          <w:szCs w:val="32"/>
          <w:highlight w:val="none"/>
        </w:rPr>
      </w:pPr>
    </w:p>
    <w:p>
      <w:pPr>
        <w:spacing w:line="360" w:lineRule="exact"/>
        <w:rPr>
          <w:rFonts w:hint="eastAsia" w:ascii="宋体" w:hAnsi="宋体" w:cs="宋体"/>
          <w:color w:val="auto"/>
          <w:sz w:val="24"/>
          <w:highlight w:val="none"/>
        </w:rPr>
      </w:pPr>
      <w:r>
        <w:rPr>
          <w:rFonts w:hint="eastAsia" w:ascii="宋体" w:hAnsi="宋体" w:cs="宋体"/>
          <w:color w:val="auto"/>
          <w:sz w:val="24"/>
          <w:highlight w:val="none"/>
        </w:rPr>
        <w:t>采购项目编号：</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类别</w:t>
            </w:r>
          </w:p>
        </w:tc>
        <w:tc>
          <w:tcPr>
            <w:tcW w:w="947" w:type="dxa"/>
            <w:vMerge w:val="restart"/>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职务</w:t>
            </w:r>
          </w:p>
        </w:tc>
        <w:tc>
          <w:tcPr>
            <w:tcW w:w="947" w:type="dxa"/>
            <w:vMerge w:val="restart"/>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947" w:type="dxa"/>
            <w:vMerge w:val="restart"/>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947" w:type="dxa"/>
            <w:vMerge w:val="restart"/>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常住地</w:t>
            </w:r>
          </w:p>
        </w:tc>
        <w:tc>
          <w:tcPr>
            <w:tcW w:w="3788" w:type="dxa"/>
            <w:gridSpan w:val="4"/>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spacing w:line="360" w:lineRule="exact"/>
              <w:jc w:val="center"/>
              <w:rPr>
                <w:rFonts w:hint="eastAsia" w:ascii="宋体" w:hAnsi="宋体" w:cs="宋体"/>
                <w:color w:val="auto"/>
                <w:sz w:val="24"/>
                <w:highlight w:val="none"/>
              </w:rPr>
            </w:pPr>
          </w:p>
        </w:tc>
        <w:tc>
          <w:tcPr>
            <w:tcW w:w="947" w:type="dxa"/>
            <w:vMerge w:val="continue"/>
            <w:vAlign w:val="center"/>
          </w:tcPr>
          <w:p>
            <w:pPr>
              <w:spacing w:line="360" w:lineRule="exact"/>
              <w:jc w:val="center"/>
              <w:rPr>
                <w:rFonts w:hint="eastAsia" w:ascii="宋体" w:hAnsi="宋体" w:cs="宋体"/>
                <w:color w:val="auto"/>
                <w:sz w:val="24"/>
                <w:highlight w:val="none"/>
              </w:rPr>
            </w:pPr>
          </w:p>
        </w:tc>
        <w:tc>
          <w:tcPr>
            <w:tcW w:w="947" w:type="dxa"/>
            <w:vMerge w:val="continue"/>
            <w:vAlign w:val="center"/>
          </w:tcPr>
          <w:p>
            <w:pPr>
              <w:spacing w:line="360" w:lineRule="exact"/>
              <w:jc w:val="center"/>
              <w:rPr>
                <w:rFonts w:hint="eastAsia" w:ascii="宋体" w:hAnsi="宋体" w:cs="宋体"/>
                <w:color w:val="auto"/>
                <w:sz w:val="24"/>
                <w:highlight w:val="none"/>
              </w:rPr>
            </w:pPr>
          </w:p>
        </w:tc>
        <w:tc>
          <w:tcPr>
            <w:tcW w:w="947" w:type="dxa"/>
            <w:vMerge w:val="continue"/>
            <w:vAlign w:val="center"/>
          </w:tcPr>
          <w:p>
            <w:pPr>
              <w:spacing w:line="360" w:lineRule="exact"/>
              <w:jc w:val="center"/>
              <w:rPr>
                <w:rFonts w:hint="eastAsia" w:ascii="宋体" w:hAnsi="宋体" w:cs="宋体"/>
                <w:color w:val="auto"/>
                <w:sz w:val="24"/>
                <w:highlight w:val="none"/>
              </w:rPr>
            </w:pPr>
          </w:p>
        </w:tc>
        <w:tc>
          <w:tcPr>
            <w:tcW w:w="947" w:type="dxa"/>
            <w:vMerge w:val="continue"/>
            <w:vAlign w:val="center"/>
          </w:tcPr>
          <w:p>
            <w:pPr>
              <w:spacing w:line="360" w:lineRule="exact"/>
              <w:jc w:val="center"/>
              <w:rPr>
                <w:rFonts w:hint="eastAsia" w:ascii="宋体" w:hAnsi="宋体" w:cs="宋体"/>
                <w:color w:val="auto"/>
                <w:sz w:val="24"/>
                <w:highlight w:val="none"/>
              </w:rPr>
            </w:pPr>
          </w:p>
        </w:tc>
        <w:tc>
          <w:tcPr>
            <w:tcW w:w="947" w:type="dxa"/>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证书</w:t>
            </w:r>
          </w:p>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名称</w:t>
            </w:r>
          </w:p>
        </w:tc>
        <w:tc>
          <w:tcPr>
            <w:tcW w:w="947" w:type="dxa"/>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级别</w:t>
            </w:r>
          </w:p>
        </w:tc>
        <w:tc>
          <w:tcPr>
            <w:tcW w:w="947" w:type="dxa"/>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证号</w:t>
            </w:r>
          </w:p>
        </w:tc>
        <w:tc>
          <w:tcPr>
            <w:tcW w:w="947" w:type="dxa"/>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技术</w:t>
            </w:r>
          </w:p>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人员</w:t>
            </w: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spacing w:line="360" w:lineRule="exact"/>
              <w:jc w:val="center"/>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spacing w:line="360" w:lineRule="exact"/>
              <w:jc w:val="center"/>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服务</w:t>
            </w:r>
          </w:p>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人员</w:t>
            </w: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r>
    </w:tbl>
    <w:p>
      <w:pPr>
        <w:spacing w:line="360" w:lineRule="exact"/>
        <w:rPr>
          <w:rFonts w:hint="eastAsia" w:ascii="宋体" w:hAnsi="宋体" w:cs="宋体"/>
          <w:color w:val="auto"/>
          <w:sz w:val="24"/>
          <w:highlight w:val="none"/>
        </w:rPr>
      </w:pPr>
    </w:p>
    <w:p>
      <w:pPr>
        <w:spacing w:line="360" w:lineRule="exact"/>
        <w:rPr>
          <w:rFonts w:hint="eastAsia" w:ascii="宋体" w:hAnsi="宋体" w:cs="宋体"/>
          <w:color w:val="auto"/>
          <w:sz w:val="24"/>
          <w:highlight w:val="none"/>
        </w:rPr>
      </w:pPr>
    </w:p>
    <w:p>
      <w:pPr>
        <w:spacing w:line="360" w:lineRule="exact"/>
        <w:rPr>
          <w:rFonts w:hint="eastAsia" w:ascii="宋体" w:hAnsi="宋体" w:cs="宋体"/>
          <w:color w:val="auto"/>
          <w:sz w:val="24"/>
          <w:highlight w:val="none"/>
        </w:rPr>
      </w:pPr>
    </w:p>
    <w:p>
      <w:pPr>
        <w:spacing w:line="360" w:lineRule="exac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（盖单位公章）</w:t>
      </w:r>
    </w:p>
    <w:p>
      <w:pPr>
        <w:spacing w:line="36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法定代表人/单位负责人或授权代表（签字或加盖个人印章）：</w:t>
      </w:r>
      <w:r>
        <w:rPr>
          <w:rFonts w:hint="eastAsia" w:ascii="宋体" w:hAnsi="宋体" w:cs="宋体"/>
          <w:color w:val="auto"/>
          <w:sz w:val="24"/>
          <w:highlight w:val="none"/>
          <w:lang w:eastAsia="zh-CN"/>
        </w:rPr>
        <w:t xml:space="preserve">      </w:t>
      </w:r>
    </w:p>
    <w:p>
      <w:pPr>
        <w:spacing w:line="360" w:lineRule="exact"/>
        <w:rPr>
          <w:rFonts w:hint="eastAsia" w:ascii="宋体" w:hAnsi="宋体" w:eastAsia="宋体" w:cs="宋体"/>
          <w:color w:val="auto"/>
          <w:sz w:val="24"/>
          <w:highlight w:val="none"/>
          <w:lang w:eastAsia="zh-CN"/>
        </w:rPr>
        <w:sectPr>
          <w:footerReference r:id="rId8" w:type="default"/>
          <w:footerReference r:id="rId9" w:type="even"/>
          <w:type w:val="continuous"/>
          <w:pgSz w:w="11907" w:h="16840"/>
          <w:pgMar w:top="1440" w:right="1800" w:bottom="1440" w:left="1800" w:header="851" w:footer="992" w:gutter="0"/>
          <w:pgNumType w:fmt="decimal" w:start="22"/>
          <w:cols w:space="425" w:num="1"/>
          <w:docGrid w:linePitch="312" w:charSpace="0"/>
        </w:sectPr>
      </w:pPr>
      <w:r>
        <w:rPr>
          <w:rFonts w:hint="eastAsia" w:ascii="宋体" w:hAnsi="宋体" w:cs="宋体"/>
          <w:color w:val="auto"/>
          <w:sz w:val="24"/>
          <w:highlight w:val="none"/>
        </w:rPr>
        <w:t>日      期：</w:t>
      </w:r>
      <w:r>
        <w:rPr>
          <w:rFonts w:hint="eastAsia" w:ascii="宋体" w:hAnsi="宋体" w:cs="宋体"/>
          <w:color w:val="auto"/>
          <w:sz w:val="24"/>
          <w:highlight w:val="none"/>
          <w:lang w:eastAsia="zh-CN"/>
        </w:rPr>
        <w:t xml:space="preserve">      </w:t>
      </w:r>
    </w:p>
    <w:p>
      <w:pPr>
        <w:spacing w:line="360" w:lineRule="exact"/>
        <w:rPr>
          <w:rFonts w:hint="eastAsia" w:ascii="宋体" w:hAnsi="宋体" w:cs="宋体"/>
          <w:color w:val="auto"/>
          <w:sz w:val="24"/>
          <w:highlight w:val="none"/>
        </w:rPr>
      </w:pPr>
    </w:p>
    <w:bookmarkEnd w:id="60"/>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spacing w:line="360" w:lineRule="exact"/>
        <w:ind w:firstLine="643" w:firstLineChars="200"/>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格式9</w:t>
      </w:r>
    </w:p>
    <w:p>
      <w:pPr>
        <w:spacing w:line="360" w:lineRule="exact"/>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供应商报价表</w:t>
      </w:r>
    </w:p>
    <w:p>
      <w:pPr>
        <w:spacing w:line="360" w:lineRule="exact"/>
        <w:jc w:val="left"/>
        <w:rPr>
          <w:rFonts w:hint="eastAsia" w:ascii="宋体" w:hAnsi="宋体" w:cs="宋体"/>
          <w:color w:val="auto"/>
          <w:szCs w:val="21"/>
          <w:highlight w:val="none"/>
        </w:rPr>
      </w:pPr>
    </w:p>
    <w:p>
      <w:pPr>
        <w:spacing w:line="360" w:lineRule="exact"/>
        <w:ind w:left="1980" w:hanging="1980" w:hangingChars="550"/>
        <w:jc w:val="center"/>
        <w:rPr>
          <w:rFonts w:hint="eastAsia" w:ascii="仿宋" w:hAnsi="仿宋" w:eastAsia="仿宋"/>
          <w:color w:val="auto"/>
          <w:sz w:val="36"/>
          <w:szCs w:val="36"/>
          <w:highlight w:val="none"/>
        </w:rPr>
      </w:pPr>
    </w:p>
    <w:p>
      <w:pPr>
        <w:spacing w:line="360" w:lineRule="exact"/>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 xml:space="preserve">采购方：四川新良大厦有限责任公司          </w:t>
      </w:r>
    </w:p>
    <w:p>
      <w:pPr>
        <w:spacing w:line="360" w:lineRule="exact"/>
        <w:rPr>
          <w:rFonts w:hint="eastAsia" w:asciiTheme="minorEastAsia" w:hAnsiTheme="minorEastAsia" w:cstheme="minorEastAsia"/>
          <w:color w:val="auto"/>
          <w:sz w:val="22"/>
          <w:szCs w:val="22"/>
          <w:highlight w:val="none"/>
        </w:rPr>
      </w:pPr>
    </w:p>
    <w:p>
      <w:pPr>
        <w:spacing w:line="360" w:lineRule="exact"/>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 xml:space="preserve">报价日期：2024年  月    日 </w:t>
      </w:r>
    </w:p>
    <w:p>
      <w:pPr>
        <w:spacing w:line="360" w:lineRule="exact"/>
        <w:rPr>
          <w:rFonts w:hint="eastAsia" w:asciiTheme="minorEastAsia" w:hAnsiTheme="minorEastAsia" w:cstheme="minorEastAsia"/>
          <w:color w:val="auto"/>
          <w:sz w:val="22"/>
          <w:szCs w:val="22"/>
          <w:highlight w:val="none"/>
        </w:rPr>
      </w:pPr>
    </w:p>
    <w:p>
      <w:pPr>
        <w:spacing w:line="360" w:lineRule="exact"/>
        <w:rPr>
          <w:rFonts w:hint="eastAsia" w:asciiTheme="minorEastAsia" w:hAnsiTheme="minorEastAsia" w:cstheme="minorEastAsia"/>
          <w:bCs w:val="0"/>
          <w:color w:val="auto"/>
          <w:sz w:val="22"/>
          <w:szCs w:val="22"/>
          <w:highlight w:val="none"/>
          <w:u w:val="none"/>
          <w:lang w:eastAsia="zh-CN"/>
        </w:rPr>
      </w:pPr>
      <w:r>
        <w:rPr>
          <w:rFonts w:hint="eastAsia" w:asciiTheme="minorEastAsia" w:hAnsiTheme="minorEastAsia" w:cstheme="minorEastAsia"/>
          <w:color w:val="auto"/>
          <w:sz w:val="22"/>
          <w:szCs w:val="22"/>
          <w:highlight w:val="none"/>
        </w:rPr>
        <w:t>采购项目名称：新良大厦1-4号电梯更新改造项目工程造价咨询服务</w:t>
      </w:r>
      <w:r>
        <w:rPr>
          <w:rFonts w:hint="eastAsia" w:asciiTheme="minorEastAsia" w:hAnsiTheme="minorEastAsia" w:cstheme="minorEastAsia"/>
          <w:bCs w:val="0"/>
          <w:color w:val="auto"/>
          <w:sz w:val="22"/>
          <w:szCs w:val="22"/>
          <w:highlight w:val="none"/>
          <w:u w:val="none"/>
          <w:lang w:eastAsia="zh-CN"/>
        </w:rPr>
        <w:t>（</w:t>
      </w:r>
      <w:r>
        <w:rPr>
          <w:rFonts w:hint="eastAsia" w:asciiTheme="minorEastAsia" w:hAnsiTheme="minorEastAsia" w:cstheme="minorEastAsia"/>
          <w:bCs w:val="0"/>
          <w:color w:val="auto"/>
          <w:sz w:val="22"/>
          <w:szCs w:val="22"/>
          <w:highlight w:val="none"/>
          <w:u w:val="none"/>
          <w:lang w:val="en-US" w:eastAsia="zh-CN"/>
        </w:rPr>
        <w:t>最高投标限价编制及工程量清单编制服务</w:t>
      </w:r>
      <w:r>
        <w:rPr>
          <w:rFonts w:hint="eastAsia" w:asciiTheme="minorEastAsia" w:hAnsiTheme="minorEastAsia" w:cstheme="minorEastAsia"/>
          <w:bCs w:val="0"/>
          <w:color w:val="auto"/>
          <w:sz w:val="22"/>
          <w:szCs w:val="22"/>
          <w:highlight w:val="none"/>
          <w:u w:val="none"/>
          <w:lang w:eastAsia="zh-CN"/>
        </w:rPr>
        <w:t>）</w:t>
      </w:r>
    </w:p>
    <w:p>
      <w:pPr>
        <w:spacing w:line="360" w:lineRule="exact"/>
        <w:rPr>
          <w:rFonts w:hint="eastAsia" w:asciiTheme="minorEastAsia" w:hAnsiTheme="minorEastAsia" w:cstheme="minorEastAsia"/>
          <w:bCs w:val="0"/>
          <w:color w:val="auto"/>
          <w:sz w:val="22"/>
          <w:szCs w:val="22"/>
          <w:highlight w:val="none"/>
          <w:u w:val="none"/>
          <w:lang w:eastAsia="zh-CN"/>
        </w:rPr>
      </w:pPr>
    </w:p>
    <w:p>
      <w:pPr>
        <w:spacing w:line="360" w:lineRule="exact"/>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采购项目编号：</w:t>
      </w:r>
    </w:p>
    <w:tbl>
      <w:tblPr>
        <w:tblStyle w:val="26"/>
        <w:tblW w:w="84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76"/>
        <w:gridCol w:w="2040"/>
        <w:gridCol w:w="4422"/>
        <w:gridCol w:w="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7" w:hRule="atLeast"/>
        </w:trPr>
        <w:tc>
          <w:tcPr>
            <w:tcW w:w="1976" w:type="dxa"/>
            <w:vAlign w:val="center"/>
          </w:tcPr>
          <w:p>
            <w:pPr>
              <w:spacing w:line="3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供应商</w:t>
            </w:r>
          </w:p>
        </w:tc>
        <w:tc>
          <w:tcPr>
            <w:tcW w:w="2040" w:type="dxa"/>
            <w:vAlign w:val="center"/>
          </w:tcPr>
          <w:p>
            <w:pPr>
              <w:spacing w:line="360" w:lineRule="exact"/>
              <w:jc w:val="center"/>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最终总价报价</w:t>
            </w:r>
          </w:p>
          <w:p>
            <w:pPr>
              <w:spacing w:line="360" w:lineRule="exact"/>
              <w:jc w:val="center"/>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（含税，单位：元）</w:t>
            </w:r>
          </w:p>
        </w:tc>
        <w:tc>
          <w:tcPr>
            <w:tcW w:w="4482" w:type="dxa"/>
            <w:gridSpan w:val="2"/>
            <w:vAlign w:val="center"/>
          </w:tcPr>
          <w:p>
            <w:pPr>
              <w:spacing w:line="360" w:lineRule="exact"/>
              <w:jc w:val="center"/>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备注（税率、税种、服务交期等）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7" w:hRule="atLeast"/>
        </w:trPr>
        <w:tc>
          <w:tcPr>
            <w:tcW w:w="1976" w:type="dxa"/>
            <w:vAlign w:val="center"/>
          </w:tcPr>
          <w:p>
            <w:pPr>
              <w:spacing w:line="360" w:lineRule="exact"/>
              <w:jc w:val="center"/>
              <w:rPr>
                <w:rFonts w:hint="eastAsia" w:asciiTheme="minorEastAsia" w:hAnsiTheme="minorEastAsia" w:cstheme="minorEastAsia"/>
                <w:color w:val="auto"/>
                <w:sz w:val="22"/>
                <w:szCs w:val="22"/>
                <w:highlight w:val="none"/>
              </w:rPr>
            </w:pPr>
          </w:p>
          <w:p>
            <w:pPr>
              <w:spacing w:line="360" w:lineRule="exact"/>
              <w:jc w:val="center"/>
              <w:rPr>
                <w:rFonts w:hint="eastAsia" w:asciiTheme="minorEastAsia" w:hAnsiTheme="minorEastAsia" w:cstheme="minorEastAsia"/>
                <w:color w:val="auto"/>
                <w:sz w:val="22"/>
                <w:szCs w:val="22"/>
                <w:highlight w:val="none"/>
              </w:rPr>
            </w:pPr>
          </w:p>
          <w:p>
            <w:pPr>
              <w:spacing w:line="360" w:lineRule="exact"/>
              <w:rPr>
                <w:rFonts w:hint="eastAsia" w:asciiTheme="minorEastAsia" w:hAnsiTheme="minorEastAsia" w:cstheme="minorEastAsia"/>
                <w:color w:val="auto"/>
                <w:sz w:val="22"/>
                <w:szCs w:val="22"/>
                <w:highlight w:val="none"/>
              </w:rPr>
            </w:pPr>
          </w:p>
          <w:p>
            <w:pPr>
              <w:spacing w:line="360" w:lineRule="exact"/>
              <w:rPr>
                <w:rFonts w:hint="eastAsia" w:asciiTheme="minorEastAsia" w:hAnsiTheme="minorEastAsia" w:cstheme="minorEastAsia"/>
                <w:color w:val="auto"/>
                <w:sz w:val="22"/>
                <w:szCs w:val="22"/>
                <w:highlight w:val="none"/>
              </w:rPr>
            </w:pPr>
          </w:p>
          <w:p>
            <w:pPr>
              <w:spacing w:line="360" w:lineRule="exact"/>
              <w:rPr>
                <w:rFonts w:hint="eastAsia" w:asciiTheme="minorEastAsia" w:hAnsiTheme="minorEastAsia" w:cstheme="minorEastAsia"/>
                <w:color w:val="auto"/>
                <w:sz w:val="22"/>
                <w:szCs w:val="22"/>
                <w:highlight w:val="none"/>
              </w:rPr>
            </w:pPr>
          </w:p>
        </w:tc>
        <w:tc>
          <w:tcPr>
            <w:tcW w:w="2040" w:type="dxa"/>
            <w:vAlign w:val="center"/>
          </w:tcPr>
          <w:p>
            <w:pPr>
              <w:spacing w:line="360" w:lineRule="exact"/>
              <w:jc w:val="center"/>
              <w:rPr>
                <w:rFonts w:hint="eastAsia" w:asciiTheme="minorEastAsia" w:hAnsiTheme="minorEastAsia" w:cstheme="minorEastAsia"/>
                <w:color w:val="auto"/>
                <w:sz w:val="22"/>
                <w:szCs w:val="22"/>
                <w:highlight w:val="none"/>
              </w:rPr>
            </w:pPr>
          </w:p>
        </w:tc>
        <w:tc>
          <w:tcPr>
            <w:tcW w:w="4482" w:type="dxa"/>
            <w:gridSpan w:val="2"/>
            <w:vAlign w:val="center"/>
          </w:tcPr>
          <w:p>
            <w:pPr>
              <w:spacing w:line="360" w:lineRule="exact"/>
              <w:jc w:val="left"/>
              <w:rPr>
                <w:rFonts w:hint="default" w:asciiTheme="minorEastAsia" w:hAnsi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税种：</w:t>
            </w:r>
          </w:p>
          <w:p>
            <w:pPr>
              <w:spacing w:line="360" w:lineRule="exact"/>
              <w:jc w:val="left"/>
              <w:rPr>
                <w:rFonts w:hint="eastAsia" w:asciiTheme="minorEastAsia" w:hAnsi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税率：</w:t>
            </w:r>
          </w:p>
          <w:p>
            <w:pPr>
              <w:spacing w:line="360" w:lineRule="exact"/>
              <w:jc w:val="left"/>
              <w:rPr>
                <w:rFonts w:hint="default" w:asciiTheme="minorEastAsia" w:hAnsi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服务交期：合同签订后   个工作日</w:t>
            </w:r>
          </w:p>
          <w:p>
            <w:pPr>
              <w:spacing w:line="360" w:lineRule="exact"/>
              <w:jc w:val="both"/>
              <w:rPr>
                <w:rFonts w:hint="default" w:asciiTheme="minorEastAsia" w:hAnsi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60" w:type="dxa"/>
          <w:trHeight w:val="3900" w:hRule="atLeast"/>
        </w:trPr>
        <w:tc>
          <w:tcPr>
            <w:tcW w:w="8438" w:type="dxa"/>
            <w:gridSpan w:val="3"/>
            <w:vAlign w:val="center"/>
          </w:tcPr>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p>
          <w:p>
            <w:pPr>
              <w:spacing w:line="360" w:lineRule="exact"/>
              <w:ind w:firstLine="4400" w:firstLineChars="2000"/>
              <w:rPr>
                <w:rFonts w:hint="eastAsia" w:asciiTheme="minorEastAsia" w:hAnsiTheme="minorEastAsia" w:cstheme="minorEastAsia"/>
                <w:color w:val="auto"/>
                <w:sz w:val="22"/>
                <w:szCs w:val="22"/>
                <w:highlight w:val="none"/>
              </w:rPr>
            </w:pPr>
          </w:p>
          <w:p>
            <w:pPr>
              <w:spacing w:line="360" w:lineRule="exact"/>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供应商授权代表签字确认：</w:t>
            </w:r>
          </w:p>
          <w:p>
            <w:pPr>
              <w:spacing w:line="360" w:lineRule="exact"/>
              <w:rPr>
                <w:rFonts w:hint="eastAsia" w:asciiTheme="minorEastAsia" w:hAnsiTheme="minorEastAsia" w:cstheme="minorEastAsia"/>
                <w:color w:val="auto"/>
                <w:sz w:val="22"/>
                <w:szCs w:val="22"/>
                <w:highlight w:val="none"/>
              </w:rPr>
            </w:pPr>
          </w:p>
          <w:p>
            <w:pPr>
              <w:spacing w:line="360" w:lineRule="exact"/>
              <w:rPr>
                <w:rFonts w:hint="eastAsia" w:asciiTheme="minorEastAsia" w:hAnsiTheme="minorEastAsia" w:cstheme="minorEastAsia"/>
                <w:color w:val="auto"/>
                <w:sz w:val="22"/>
                <w:szCs w:val="22"/>
                <w:highlight w:val="none"/>
              </w:rPr>
            </w:pPr>
          </w:p>
          <w:p>
            <w:pPr>
              <w:spacing w:line="360" w:lineRule="exact"/>
              <w:rPr>
                <w:rFonts w:hint="eastAsia" w:asciiTheme="minorEastAsia" w:hAnsiTheme="minorEastAsia" w:cstheme="minorEastAsia"/>
                <w:color w:val="auto"/>
                <w:sz w:val="22"/>
                <w:szCs w:val="22"/>
                <w:highlight w:val="none"/>
              </w:rPr>
            </w:pPr>
          </w:p>
          <w:p>
            <w:pPr>
              <w:spacing w:line="360" w:lineRule="exact"/>
              <w:ind w:firstLine="4730" w:firstLineChars="2150"/>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日期：  年   月  日</w:t>
            </w:r>
          </w:p>
          <w:p>
            <w:pPr>
              <w:spacing w:line="360" w:lineRule="exact"/>
              <w:jc w:val="center"/>
              <w:rPr>
                <w:rFonts w:hint="eastAsia" w:asciiTheme="minorEastAsia" w:hAnsiTheme="minorEastAsia" w:cstheme="minorEastAsia"/>
                <w:color w:val="auto"/>
                <w:sz w:val="22"/>
                <w:szCs w:val="22"/>
                <w:highlight w:val="none"/>
              </w:rPr>
            </w:pPr>
          </w:p>
        </w:tc>
      </w:tr>
    </w:tbl>
    <w:p>
      <w:pPr>
        <w:widowControl/>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1.所有报价均用人民币表示</w:t>
      </w:r>
      <w:r>
        <w:rPr>
          <w:rFonts w:hint="eastAsia" w:ascii="宋体" w:hAnsi="宋体" w:cs="宋体"/>
          <w:color w:val="auto"/>
          <w:sz w:val="24"/>
          <w:highlight w:val="none"/>
          <w:lang w:eastAsia="zh-CN"/>
        </w:rPr>
        <w:t>，</w:t>
      </w:r>
      <w:r>
        <w:rPr>
          <w:rFonts w:hint="eastAsia" w:ascii="宋体" w:hAnsi="宋体" w:cs="宋体"/>
          <w:color w:val="auto"/>
          <w:sz w:val="24"/>
          <w:highlight w:val="none"/>
        </w:rPr>
        <w:t>包含：所有费用，并对质量和服务交期负全责。</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2.应完整填写表格中相关内容。</w:t>
      </w:r>
    </w:p>
    <w:p>
      <w:pPr>
        <w:widowControl/>
        <w:spacing w:line="360" w:lineRule="exact"/>
        <w:ind w:left="479" w:leftChars="228"/>
        <w:jc w:val="left"/>
        <w:rPr>
          <w:rFonts w:hint="eastAsia" w:ascii="宋体" w:hAnsi="宋体" w:cs="宋体"/>
          <w:color w:val="auto"/>
          <w:sz w:val="24"/>
          <w:highlight w:val="none"/>
        </w:rPr>
      </w:pPr>
      <w:r>
        <w:rPr>
          <w:rFonts w:hint="eastAsia" w:ascii="宋体" w:hAnsi="宋体" w:cs="宋体"/>
          <w:color w:val="auto"/>
          <w:sz w:val="24"/>
          <w:highlight w:val="none"/>
        </w:rPr>
        <w:t>3.本项目采用书面报价，在响应文件中报价，报价为一次性且不得更改的报价（响应文件报价作为评审的依据）。</w:t>
      </w:r>
    </w:p>
    <w:p>
      <w:pPr>
        <w:widowControl/>
        <w:spacing w:line="360" w:lineRule="exact"/>
        <w:ind w:left="479" w:leftChars="228"/>
        <w:jc w:val="left"/>
        <w:rPr>
          <w:rFonts w:hint="eastAsia" w:ascii="宋体" w:hAnsi="宋体" w:cs="宋体"/>
          <w:color w:val="auto"/>
          <w:sz w:val="24"/>
          <w:highlight w:val="none"/>
        </w:rPr>
      </w:pPr>
      <w:r>
        <w:rPr>
          <w:rFonts w:hint="eastAsia" w:ascii="宋体" w:hAnsi="宋体" w:cs="宋体"/>
          <w:color w:val="auto"/>
          <w:sz w:val="24"/>
          <w:highlight w:val="none"/>
        </w:rPr>
        <w:t>4.服务交期统一填订立合同后多少个工作日。</w:t>
      </w:r>
    </w:p>
    <w:p>
      <w:pPr>
        <w:widowControl/>
        <w:spacing w:line="360" w:lineRule="exact"/>
        <w:jc w:val="left"/>
        <w:rPr>
          <w:rFonts w:hint="eastAsia" w:ascii="宋体" w:hAnsi="宋体" w:cs="宋体"/>
          <w:color w:val="auto"/>
          <w:sz w:val="24"/>
          <w:highlight w:val="none"/>
        </w:rPr>
        <w:sectPr>
          <w:type w:val="continuous"/>
          <w:pgSz w:w="11907" w:h="16840"/>
          <w:pgMar w:top="1440" w:right="1800" w:bottom="1440" w:left="1800" w:header="851" w:footer="992" w:gutter="0"/>
          <w:pgNumType w:fmt="decimal"/>
          <w:cols w:space="425" w:num="1"/>
          <w:docGrid w:linePitch="312" w:charSpace="0"/>
        </w:sectPr>
      </w:pPr>
    </w:p>
    <w:p>
      <w:pPr>
        <w:pStyle w:val="22"/>
        <w:spacing w:line="360" w:lineRule="exact"/>
        <w:rPr>
          <w:rFonts w:hint="eastAsia" w:ascii="宋体" w:hAnsi="宋体" w:cs="宋体"/>
          <w:color w:val="auto"/>
          <w:highlight w:val="none"/>
        </w:rPr>
      </w:pPr>
      <w:bookmarkStart w:id="61" w:name="_Toc737"/>
      <w:bookmarkStart w:id="62" w:name="_Toc19301"/>
      <w:bookmarkStart w:id="63" w:name="_Toc94213287"/>
      <w:bookmarkStart w:id="64" w:name="_Toc8819"/>
      <w:bookmarkStart w:id="65" w:name="_Toc15777"/>
      <w:r>
        <w:rPr>
          <w:rFonts w:hint="eastAsia" w:ascii="宋体" w:hAnsi="宋体" w:cs="宋体"/>
          <w:color w:val="auto"/>
          <w:highlight w:val="none"/>
        </w:rPr>
        <w:t>第六章  评审方法</w:t>
      </w:r>
      <w:bookmarkEnd w:id="61"/>
      <w:bookmarkEnd w:id="62"/>
      <w:bookmarkEnd w:id="63"/>
      <w:bookmarkEnd w:id="64"/>
      <w:bookmarkEnd w:id="65"/>
    </w:p>
    <w:p>
      <w:pPr>
        <w:pStyle w:val="55"/>
        <w:spacing w:line="360" w:lineRule="exact"/>
        <w:ind w:firstLine="480"/>
        <w:rPr>
          <w:rFonts w:hint="eastAsia" w:ascii="宋体" w:hAnsi="宋体" w:eastAsia="宋体" w:cs="宋体"/>
          <w:color w:val="auto"/>
          <w:highlight w:val="none"/>
        </w:rPr>
      </w:pPr>
      <w:bookmarkStart w:id="66" w:name="_Toc430773924"/>
      <w:bookmarkStart w:id="67" w:name="_Toc209847065"/>
      <w:bookmarkStart w:id="68" w:name="_Toc101338358"/>
      <w:bookmarkStart w:id="69" w:name="_Toc101250640"/>
      <w:bookmarkStart w:id="70" w:name="_Toc101174146"/>
    </w:p>
    <w:bookmarkEnd w:id="66"/>
    <w:bookmarkEnd w:id="67"/>
    <w:bookmarkEnd w:id="68"/>
    <w:bookmarkEnd w:id="69"/>
    <w:bookmarkEnd w:id="70"/>
    <w:p>
      <w:pPr>
        <w:adjustRightInd w:val="0"/>
        <w:snapToGrid w:val="0"/>
        <w:spacing w:line="360" w:lineRule="exact"/>
        <w:rPr>
          <w:rFonts w:hint="eastAsia" w:ascii="宋体" w:hAnsi="宋体" w:cs="宋体"/>
          <w:bCs/>
          <w:color w:val="auto"/>
          <w:sz w:val="24"/>
          <w:highlight w:val="none"/>
        </w:rPr>
      </w:pP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询价小组在评审过程中，应当按照</w:t>
      </w:r>
      <w:r>
        <w:rPr>
          <w:rFonts w:hint="eastAsia" w:ascii="宋体" w:hAnsi="宋体" w:cs="宋体"/>
          <w:color w:val="auto"/>
          <w:sz w:val="24"/>
          <w:highlight w:val="none"/>
        </w:rPr>
        <w:t>法律制度</w:t>
      </w:r>
      <w:r>
        <w:rPr>
          <w:rFonts w:hint="eastAsia" w:ascii="宋体" w:hAnsi="宋体" w:cs="宋体"/>
          <w:bCs/>
          <w:color w:val="auto"/>
          <w:sz w:val="24"/>
          <w:highlight w:val="none"/>
        </w:rPr>
        <w:t>的规定履行职责和义务，不得违法评审、违反评审工作纪律。</w:t>
      </w:r>
    </w:p>
    <w:p>
      <w:pPr>
        <w:adjustRightInd w:val="0"/>
        <w:snapToGrid w:val="0"/>
        <w:spacing w:line="360" w:lineRule="exact"/>
        <w:ind w:firstLine="482"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1.询价程序</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1.1供应商签到并递交响应文件。</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1.2询价小组按照询价通知书的规定对供应商的响应文件进行书面审查。</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1.3供应商报价结束后，询价小组拟出具评审报告前，询价采购单位应当组织1名工作人员，在采购现场监督人员的监督之下，依据有关的法律制度和询价通知书对评审结果进行复核。</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1.4询价小组编写评审报告。询价小组从质量和服务均能满足询价通知书的供应商中，按照供应商的报价由低到高排序，推荐成交候选供应商。供应商报价相同的，由询价小组组织供应商抽签确定推荐的成交候选供应商顺序。</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1.5采购人根据质量和服务均能满足询价通知书要求且报价</w:t>
      </w:r>
      <w:r>
        <w:rPr>
          <w:rFonts w:hint="eastAsia" w:ascii="宋体" w:hAnsi="宋体" w:cs="宋体"/>
          <w:b/>
          <w:bCs w:val="0"/>
          <w:color w:val="auto"/>
          <w:sz w:val="24"/>
          <w:highlight w:val="none"/>
        </w:rPr>
        <w:t>最低</w:t>
      </w:r>
      <w:r>
        <w:rPr>
          <w:rFonts w:hint="eastAsia" w:ascii="宋体" w:hAnsi="宋体" w:cs="宋体"/>
          <w:bCs/>
          <w:color w:val="auto"/>
          <w:sz w:val="24"/>
          <w:highlight w:val="none"/>
        </w:rPr>
        <w:t>的原则确定成交供应商（也可以书面授权询价小组直接确定成交供应商）。</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1.6发布成交结果公示，同时发出成交通知书。</w:t>
      </w:r>
    </w:p>
    <w:p>
      <w:pPr>
        <w:adjustRightInd w:val="0"/>
        <w:snapToGrid w:val="0"/>
        <w:spacing w:line="360" w:lineRule="exact"/>
        <w:ind w:firstLine="482"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2.评审程序、评审方法、评审标准</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2.1熟悉和理解询价通知书和停止评审。</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2.1.1询价小组正式评审前，应当对询价通知书进行熟悉和理解，内容主要包括询价通知书中供应商资格条件要求、采购项目技术、服务和商务要求、询价办法和评审标准以及采购合同主要条款等。</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2.1.2询价小组熟悉和理解询价文件以及评审过程中，发现询价文件内容违反国家有关强制性规定或者询价文件存在歧义、重大缺陷导致评审工作无法进行时</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应当停止评审并向采购人书面说明情况。</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2.1.3除“2.1.2”规定的情形外，询价小组成员不得以任何方式和理由停止评审。</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2.2询价。</w:t>
      </w:r>
    </w:p>
    <w:p>
      <w:pPr>
        <w:adjustRightInd w:val="0"/>
        <w:snapToGrid w:val="0"/>
        <w:spacing w:line="360" w:lineRule="exact"/>
        <w:ind w:firstLine="480" w:firstLineChars="200"/>
        <w:rPr>
          <w:rFonts w:hint="eastAsia" w:ascii="宋体" w:hAnsi="宋体" w:cs="宋体"/>
          <w:color w:val="auto"/>
          <w:sz w:val="24"/>
          <w:highlight w:val="none"/>
          <w:lang w:val="zh-CN"/>
        </w:rPr>
      </w:pPr>
      <w:r>
        <w:rPr>
          <w:rFonts w:hint="eastAsia" w:ascii="宋体" w:hAnsi="宋体" w:cs="宋体"/>
          <w:bCs/>
          <w:color w:val="auto"/>
          <w:sz w:val="24"/>
          <w:highlight w:val="none"/>
        </w:rPr>
        <w:t>询价过程中，询价小组对</w:t>
      </w:r>
      <w:r>
        <w:rPr>
          <w:rFonts w:hint="eastAsia" w:ascii="宋体" w:hAnsi="宋体" w:cs="宋体"/>
          <w:color w:val="auto"/>
          <w:sz w:val="24"/>
          <w:highlight w:val="none"/>
          <w:lang w:val="zh-CN"/>
        </w:rPr>
        <w:t>响应文件的有效性、完整性和响应程度进行审查（符合性审查），审查中发现供应商响应文件属于下列情况之一的，应按照无效响应文件处理：</w:t>
      </w:r>
    </w:p>
    <w:p>
      <w:pPr>
        <w:pStyle w:val="13"/>
        <w:snapToGrid w:val="0"/>
        <w:spacing w:line="360" w:lineRule="exact"/>
        <w:ind w:firstLine="480" w:firstLineChars="200"/>
        <w:rPr>
          <w:rFonts w:hint="eastAsia" w:hAnsi="宋体" w:cs="宋体"/>
          <w:color w:val="auto"/>
          <w:sz w:val="24"/>
          <w:szCs w:val="24"/>
          <w:highlight w:val="none"/>
          <w:lang w:val="zh-CN"/>
        </w:rPr>
      </w:pPr>
      <w:r>
        <w:rPr>
          <w:rFonts w:hint="eastAsia" w:hAnsi="宋体" w:cs="宋体"/>
          <w:color w:val="auto"/>
          <w:sz w:val="24"/>
          <w:szCs w:val="24"/>
          <w:highlight w:val="none"/>
          <w:lang w:val="zh-CN"/>
        </w:rPr>
        <w:t>（</w:t>
      </w:r>
      <w:r>
        <w:rPr>
          <w:rFonts w:hint="eastAsia" w:hAnsi="宋体" w:cs="宋体"/>
          <w:color w:val="auto"/>
          <w:sz w:val="24"/>
          <w:szCs w:val="24"/>
          <w:highlight w:val="none"/>
        </w:rPr>
        <w:t>1</w:t>
      </w:r>
      <w:r>
        <w:rPr>
          <w:rFonts w:hint="eastAsia" w:hAnsi="宋体" w:cs="宋体"/>
          <w:color w:val="auto"/>
          <w:sz w:val="24"/>
          <w:szCs w:val="24"/>
          <w:highlight w:val="none"/>
          <w:lang w:val="zh-CN"/>
        </w:rPr>
        <w:t>）响应文件组成明显不符合</w:t>
      </w:r>
      <w:r>
        <w:rPr>
          <w:rFonts w:hint="eastAsia" w:hAnsi="宋体" w:cs="宋体"/>
          <w:color w:val="auto"/>
          <w:sz w:val="24"/>
          <w:szCs w:val="24"/>
          <w:highlight w:val="none"/>
        </w:rPr>
        <w:t>询价通知书</w:t>
      </w:r>
      <w:r>
        <w:rPr>
          <w:rFonts w:hint="eastAsia" w:hAnsi="宋体" w:cs="宋体"/>
          <w:color w:val="auto"/>
          <w:sz w:val="24"/>
          <w:szCs w:val="24"/>
          <w:highlight w:val="none"/>
          <w:lang w:val="zh-CN"/>
        </w:rPr>
        <w:t>的规定要求，影响询价小组评判的</w:t>
      </w:r>
    </w:p>
    <w:p>
      <w:pPr>
        <w:pStyle w:val="13"/>
        <w:snapToGrid w:val="0"/>
        <w:spacing w:line="360" w:lineRule="exact"/>
        <w:ind w:firstLine="480" w:firstLineChars="200"/>
        <w:rPr>
          <w:rFonts w:hint="eastAsia" w:hAnsi="宋体" w:cs="宋体"/>
          <w:color w:val="auto"/>
          <w:sz w:val="24"/>
          <w:szCs w:val="24"/>
          <w:highlight w:val="none"/>
          <w:lang w:val="zh-CN"/>
        </w:rPr>
      </w:pPr>
      <w:r>
        <w:rPr>
          <w:rFonts w:hint="eastAsia" w:hAnsi="宋体" w:cs="宋体"/>
          <w:color w:val="auto"/>
          <w:sz w:val="24"/>
          <w:szCs w:val="24"/>
          <w:highlight w:val="none"/>
          <w:lang w:val="zh-CN"/>
        </w:rPr>
        <w:t>（</w:t>
      </w:r>
      <w:r>
        <w:rPr>
          <w:rFonts w:hint="eastAsia" w:hAnsi="宋体" w:cs="宋体"/>
          <w:color w:val="auto"/>
          <w:sz w:val="24"/>
          <w:szCs w:val="24"/>
          <w:highlight w:val="none"/>
        </w:rPr>
        <w:t>2</w:t>
      </w:r>
      <w:r>
        <w:rPr>
          <w:rFonts w:hint="eastAsia" w:hAnsi="宋体" w:cs="宋体"/>
          <w:color w:val="auto"/>
          <w:sz w:val="24"/>
          <w:szCs w:val="24"/>
          <w:highlight w:val="none"/>
          <w:lang w:val="zh-CN"/>
        </w:rPr>
        <w:t>）响应文件的语言、计量单位、知识产权、响应有效期等不符合询价通知书的规定，影响询价小组评判的；</w:t>
      </w:r>
    </w:p>
    <w:p>
      <w:pPr>
        <w:pStyle w:val="13"/>
        <w:snapToGrid w:val="0"/>
        <w:spacing w:line="360" w:lineRule="exact"/>
        <w:ind w:firstLine="480" w:firstLineChars="200"/>
        <w:rPr>
          <w:rFonts w:hint="eastAsia" w:hAnsi="宋体" w:cs="宋体"/>
          <w:color w:val="auto"/>
          <w:sz w:val="24"/>
          <w:szCs w:val="24"/>
          <w:highlight w:val="none"/>
          <w:lang w:val="zh-CN"/>
        </w:rPr>
      </w:pPr>
      <w:r>
        <w:rPr>
          <w:rFonts w:hint="eastAsia" w:hAnsi="宋体" w:cs="宋体"/>
          <w:color w:val="auto"/>
          <w:sz w:val="24"/>
          <w:szCs w:val="24"/>
          <w:highlight w:val="none"/>
          <w:lang w:val="zh-CN"/>
        </w:rPr>
        <w:t>（3）供应商的响应文件不能完全响应询价通知书</w:t>
      </w:r>
      <w:r>
        <w:rPr>
          <w:rFonts w:hint="eastAsia" w:hAnsi="宋体" w:cs="宋体"/>
          <w:color w:val="auto"/>
          <w:sz w:val="24"/>
          <w:szCs w:val="24"/>
          <w:highlight w:val="none"/>
        </w:rPr>
        <w:t>实质性</w:t>
      </w:r>
      <w:r>
        <w:rPr>
          <w:rFonts w:hint="eastAsia" w:hAnsi="宋体" w:cs="宋体"/>
          <w:color w:val="auto"/>
          <w:sz w:val="24"/>
          <w:szCs w:val="24"/>
          <w:highlight w:val="none"/>
          <w:lang w:val="zh-CN"/>
        </w:rPr>
        <w:t>要求的；</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（4）</w:t>
      </w:r>
      <w:r>
        <w:rPr>
          <w:rFonts w:hint="eastAsia" w:ascii="宋体" w:hAnsi="宋体" w:cs="宋体"/>
          <w:color w:val="auto"/>
          <w:sz w:val="24"/>
          <w:highlight w:val="none"/>
        </w:rPr>
        <w:t>未载明或者载明的采购项目履约时间、方式及其他采购合同实质性内容与本询价通知书要求不一致，且采购单位无法接受的。</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5</w:t>
      </w:r>
      <w:r>
        <w:rPr>
          <w:rFonts w:hint="eastAsia" w:ascii="宋体" w:hAnsi="宋体" w:cs="宋体"/>
          <w:color w:val="auto"/>
          <w:sz w:val="24"/>
          <w:highlight w:val="none"/>
          <w:lang w:val="zh-CN"/>
        </w:rPr>
        <w:t>）</w:t>
      </w:r>
      <w:r>
        <w:rPr>
          <w:rFonts w:hint="eastAsia" w:ascii="宋体" w:hAnsi="宋体" w:cs="宋体"/>
          <w:color w:val="auto"/>
          <w:sz w:val="24"/>
          <w:highlight w:val="none"/>
        </w:rPr>
        <w:t>属于询价通知书中无效响应情形的。</w:t>
      </w:r>
    </w:p>
    <w:p>
      <w:pPr>
        <w:pStyle w:val="13"/>
        <w:snapToGrid w:val="0"/>
        <w:spacing w:line="360" w:lineRule="exact"/>
        <w:ind w:firstLine="480" w:firstLineChars="200"/>
        <w:rPr>
          <w:rFonts w:hint="eastAsia" w:hAnsi="宋体" w:cs="宋体"/>
          <w:color w:val="auto"/>
          <w:sz w:val="24"/>
          <w:szCs w:val="24"/>
          <w:highlight w:val="none"/>
          <w:lang w:val="zh-CN"/>
        </w:rPr>
      </w:pPr>
      <w:r>
        <w:rPr>
          <w:rFonts w:hint="eastAsia" w:hAnsi="宋体" w:cs="宋体"/>
          <w:color w:val="auto"/>
          <w:sz w:val="24"/>
          <w:szCs w:val="24"/>
          <w:highlight w:val="none"/>
          <w:lang w:val="zh-CN"/>
        </w:rPr>
        <w:t xml:space="preserve"> 但询价小组对响应文件签署、盖章等进行审查过程中，有下列情形的，询价小组应当评定为不影响整个响应文件有效性和采购活动公平竞争，并通过响应文件的有效性审查：</w:t>
      </w:r>
    </w:p>
    <w:p>
      <w:pPr>
        <w:pStyle w:val="13"/>
        <w:snapToGrid w:val="0"/>
        <w:spacing w:line="360" w:lineRule="exact"/>
        <w:ind w:firstLine="480" w:firstLineChars="200"/>
        <w:rPr>
          <w:rFonts w:hint="eastAsia" w:hAnsi="宋体" w:cs="宋体"/>
          <w:color w:val="auto"/>
          <w:sz w:val="24"/>
          <w:szCs w:val="24"/>
          <w:highlight w:val="none"/>
          <w:lang w:val="zh-CN"/>
        </w:rPr>
      </w:pPr>
      <w:r>
        <w:rPr>
          <w:rFonts w:hint="eastAsia" w:hAnsi="宋体" w:cs="宋体"/>
          <w:color w:val="auto"/>
          <w:sz w:val="24"/>
          <w:szCs w:val="24"/>
          <w:highlight w:val="none"/>
          <w:lang w:val="zh-CN"/>
        </w:rPr>
        <w:t xml:space="preserve"> （1）响应文件存在个别地方（总数不能超过2个）没有法定代表人/单位负责人签字，但有法定代表人/单位负责人的私人印章或者有效授权代理人签字的；</w:t>
      </w:r>
    </w:p>
    <w:p>
      <w:pPr>
        <w:pStyle w:val="13"/>
        <w:snapToGrid w:val="0"/>
        <w:spacing w:line="360" w:lineRule="exact"/>
        <w:ind w:firstLine="480" w:firstLineChars="200"/>
        <w:rPr>
          <w:rFonts w:hint="eastAsia" w:hAnsi="宋体" w:cs="宋体"/>
          <w:color w:val="auto"/>
          <w:sz w:val="24"/>
          <w:szCs w:val="24"/>
          <w:highlight w:val="none"/>
          <w:lang w:val="zh-CN"/>
        </w:rPr>
      </w:pPr>
      <w:r>
        <w:rPr>
          <w:rFonts w:hint="eastAsia" w:hAnsi="宋体" w:cs="宋体"/>
          <w:color w:val="auto"/>
          <w:sz w:val="24"/>
          <w:szCs w:val="24"/>
          <w:highlight w:val="none"/>
          <w:lang w:val="zh-CN"/>
        </w:rPr>
        <w:t xml:space="preserve"> （2）响应文件除询价通知书明确要求加盖单位（法人）公章的以外，其他地方以相关专用章加盖的；</w:t>
      </w:r>
    </w:p>
    <w:p>
      <w:pPr>
        <w:pStyle w:val="13"/>
        <w:snapToGrid w:val="0"/>
        <w:spacing w:line="360" w:lineRule="exact"/>
        <w:ind w:firstLine="480" w:firstLineChars="200"/>
        <w:rPr>
          <w:rFonts w:hint="eastAsia" w:hAnsi="宋体" w:cs="宋体"/>
          <w:color w:val="auto"/>
          <w:sz w:val="24"/>
          <w:szCs w:val="24"/>
          <w:highlight w:val="none"/>
          <w:lang w:val="zh-CN"/>
        </w:rPr>
      </w:pPr>
      <w:r>
        <w:rPr>
          <w:rFonts w:hint="eastAsia" w:hAnsi="宋体" w:cs="宋体"/>
          <w:color w:val="auto"/>
          <w:sz w:val="24"/>
          <w:szCs w:val="24"/>
          <w:highlight w:val="none"/>
          <w:lang w:val="zh-CN"/>
        </w:rPr>
        <w:t xml:space="preserve"> （3）以骑缝章的形式代替响应文件内容逐页盖章的（但是骑缝章模糊不清，印章名称无法辨认的除外）。</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2.3一次性报价。</w:t>
      </w:r>
    </w:p>
    <w:p>
      <w:pPr>
        <w:spacing w:line="36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2.3.1本次询价采购采用书面报价，报价为一次性不得更改的报价，且须体现在响应文件中。</w:t>
      </w:r>
      <w:r>
        <w:rPr>
          <w:rFonts w:hint="eastAsia" w:ascii="宋体" w:hAnsi="宋体" w:cs="宋体"/>
          <w:color w:val="auto"/>
          <w:sz w:val="24"/>
          <w:highlight w:val="none"/>
          <w:lang w:val="zh-CN"/>
        </w:rPr>
        <w:t>发现供应商报价属于下列情况之一的，应按照无效响应文件处理：</w:t>
      </w:r>
    </w:p>
    <w:p>
      <w:pPr>
        <w:pStyle w:val="13"/>
        <w:snapToGrid w:val="0"/>
        <w:spacing w:line="360" w:lineRule="exact"/>
        <w:ind w:firstLine="360" w:firstLineChars="150"/>
        <w:rPr>
          <w:rFonts w:hint="eastAsia" w:hAnsi="宋体" w:cs="宋体"/>
          <w:color w:val="auto"/>
          <w:sz w:val="24"/>
          <w:szCs w:val="24"/>
          <w:highlight w:val="none"/>
          <w:lang w:val="zh-CN"/>
        </w:rPr>
      </w:pPr>
      <w:r>
        <w:rPr>
          <w:rFonts w:hint="eastAsia" w:hAnsi="宋体" w:cs="宋体"/>
          <w:color w:val="auto"/>
          <w:sz w:val="24"/>
          <w:szCs w:val="24"/>
          <w:highlight w:val="none"/>
          <w:lang w:val="zh-CN"/>
        </w:rPr>
        <w:t>（1）一次性报价超过询价通知书规定的采购预算（或最高限价）或者相关报价不符合询价通知书其他报价规定的；</w:t>
      </w:r>
    </w:p>
    <w:p>
      <w:pPr>
        <w:spacing w:line="36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(2) 询价小组认为供应商报价明显低于成本价，在询价小组发出质询函后供应商未能提供合理的成本分析和价格构成的或对质函询的解释未被询价小组采信的。</w:t>
      </w:r>
    </w:p>
    <w:p>
      <w:pPr>
        <w:spacing w:line="360" w:lineRule="exact"/>
        <w:ind w:firstLine="480"/>
        <w:rPr>
          <w:rFonts w:hint="eastAsia" w:ascii="宋体" w:hAnsi="宋体" w:cs="宋体"/>
          <w:color w:val="auto"/>
          <w:sz w:val="24"/>
          <w:highlight w:val="none"/>
        </w:rPr>
      </w:pPr>
      <w:r>
        <w:rPr>
          <w:rFonts w:hint="eastAsia" w:ascii="宋体" w:hAnsi="宋体" w:cs="宋体"/>
          <w:bCs/>
          <w:color w:val="auto"/>
          <w:sz w:val="24"/>
          <w:highlight w:val="none"/>
        </w:rPr>
        <w:t>2.3.2</w:t>
      </w:r>
      <w:r>
        <w:rPr>
          <w:rFonts w:hint="eastAsia" w:ascii="宋体" w:hAnsi="宋体" w:cs="宋体"/>
          <w:color w:val="auto"/>
          <w:sz w:val="24"/>
          <w:highlight w:val="none"/>
        </w:rPr>
        <w:t>报价如果出现下列不一致的，可按以下原则进行修改：</w:t>
      </w:r>
    </w:p>
    <w:p>
      <w:pPr>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（一）</w:t>
      </w:r>
      <w:r>
        <w:rPr>
          <w:rFonts w:hint="eastAsia" w:ascii="宋体" w:hAnsi="宋体" w:cs="宋体"/>
          <w:color w:val="auto"/>
          <w:kern w:val="0"/>
          <w:sz w:val="24"/>
          <w:highlight w:val="none"/>
        </w:rPr>
        <w:t>大写金额和小写金额不一致的，以大写金额为准</w:t>
      </w:r>
      <w:r>
        <w:rPr>
          <w:rFonts w:hint="eastAsia" w:ascii="宋体" w:hAnsi="宋体" w:cs="宋体"/>
          <w:color w:val="auto"/>
          <w:sz w:val="24"/>
          <w:highlight w:val="none"/>
        </w:rPr>
        <w:t>，但大写金额文字存在错误的，应当先对大写金额的文字错误进行澄清、说明或者更正，再行修正。</w:t>
      </w:r>
    </w:p>
    <w:p>
      <w:pPr>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（二）</w:t>
      </w:r>
      <w:r>
        <w:rPr>
          <w:rFonts w:hint="eastAsia" w:ascii="宋体" w:hAnsi="宋体" w:cs="宋体"/>
          <w:color w:val="auto"/>
          <w:kern w:val="0"/>
          <w:sz w:val="24"/>
          <w:highlight w:val="none"/>
        </w:rPr>
        <w:t>总价金额与按单价汇总金额不一致的，以单价金额计算结果为准，</w:t>
      </w:r>
      <w:r>
        <w:rPr>
          <w:rFonts w:hint="eastAsia" w:ascii="宋体" w:hAnsi="宋体" w:cs="宋体"/>
          <w:color w:val="auto"/>
          <w:sz w:val="24"/>
          <w:highlight w:val="none"/>
        </w:rPr>
        <w:t>但</w:t>
      </w:r>
      <w:r>
        <w:rPr>
          <w:rFonts w:hint="eastAsia" w:ascii="宋体" w:hAnsi="宋体" w:cs="宋体"/>
          <w:color w:val="auto"/>
          <w:kern w:val="0"/>
          <w:sz w:val="24"/>
          <w:highlight w:val="none"/>
        </w:rPr>
        <w:t>单价或者单价汇总金额存在数字或者</w:t>
      </w:r>
      <w:r>
        <w:rPr>
          <w:rFonts w:hint="eastAsia" w:ascii="宋体" w:hAnsi="宋体" w:cs="宋体"/>
          <w:color w:val="auto"/>
          <w:sz w:val="24"/>
          <w:highlight w:val="none"/>
        </w:rPr>
        <w:t>文字错误的，应当先对</w:t>
      </w:r>
      <w:r>
        <w:rPr>
          <w:rFonts w:hint="eastAsia" w:ascii="宋体" w:hAnsi="宋体" w:cs="宋体"/>
          <w:color w:val="auto"/>
          <w:kern w:val="0"/>
          <w:sz w:val="24"/>
          <w:highlight w:val="none"/>
        </w:rPr>
        <w:t>数字或者</w:t>
      </w:r>
      <w:r>
        <w:rPr>
          <w:rFonts w:hint="eastAsia" w:ascii="宋体" w:hAnsi="宋体" w:cs="宋体"/>
          <w:color w:val="auto"/>
          <w:sz w:val="24"/>
          <w:highlight w:val="none"/>
        </w:rPr>
        <w:t>文字错误进行澄清、说明或者更正，再行修正。</w:t>
      </w:r>
    </w:p>
    <w:p>
      <w:pPr>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（三）单价金额小数点</w:t>
      </w:r>
      <w:r>
        <w:rPr>
          <w:rFonts w:hint="eastAsia" w:ascii="宋体" w:hAnsi="宋体" w:cs="宋体"/>
          <w:color w:val="auto"/>
          <w:kern w:val="0"/>
          <w:sz w:val="24"/>
          <w:highlight w:val="none"/>
        </w:rPr>
        <w:t>或者百分比有明显错位的</w:t>
      </w:r>
      <w:r>
        <w:rPr>
          <w:rFonts w:hint="eastAsia" w:ascii="宋体" w:hAnsi="宋体" w:cs="宋体"/>
          <w:color w:val="auto"/>
          <w:sz w:val="24"/>
          <w:highlight w:val="none"/>
        </w:rPr>
        <w:t>，以总价为准，修正单价。</w:t>
      </w:r>
    </w:p>
    <w:p>
      <w:pPr>
        <w:spacing w:line="3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不得不经过澄清、说明或者更正，直接将供应商响应文件作为无效处理。对不同文字文本响应文件的解释发生异议的，以中文文本为准。</w:t>
      </w:r>
    </w:p>
    <w:p>
      <w:pPr>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2.4现场复核</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2.4.1推荐</w:t>
      </w:r>
      <w:r>
        <w:rPr>
          <w:rFonts w:hint="eastAsia" w:ascii="宋体" w:hAnsi="宋体" w:cs="宋体"/>
          <w:bCs/>
          <w:color w:val="auto"/>
          <w:sz w:val="24"/>
          <w:highlight w:val="none"/>
        </w:rPr>
        <w:t>成交候选供应商</w:t>
      </w:r>
      <w:r>
        <w:rPr>
          <w:rFonts w:hint="eastAsia" w:ascii="宋体" w:hAnsi="宋体" w:cs="宋体"/>
          <w:color w:val="auto"/>
          <w:sz w:val="24"/>
          <w:highlight w:val="none"/>
        </w:rPr>
        <w:t>后，询价小组拟出具评审报告前，采购人应当组织1名本单位工作人员，在采购现场监督人员的监督之下，依据有关的法律制度和询价通知书对评审结果进行复核，存在资格性审查认定错误和价格计算错误的，询价小组现场修改评审结果。复核过程中，询价小组成员不得离开评审现场。</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2.4.2有下列情形之一的，不得现场修改评审结果：</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（1）询价小组已经出具评审报告并且离开评审现场的；</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（2）采购人现场复核时，复核工作人员数量不足的；</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（3）采购人现场复核时，没有采购监督人员现场监督的；</w:t>
      </w:r>
    </w:p>
    <w:p>
      <w:pPr>
        <w:spacing w:line="36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（4）采购人现场复核内容超出规定范围的；</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2.5推荐成交候选供应商。</w:t>
      </w:r>
    </w:p>
    <w:p>
      <w:pPr>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成交候选供应商应当排序。询价小组复核结束后，应当按照供应商的报价由低到高排序，推荐成交候选供应商。供应商报价相同的，由询价小组组织供应商抽签确定推荐的成交候选供应商顺序。</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2.6出具评审报告。评审报告应当包括下列内容：</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（一）邀请供应商参加采购活动的具体方式和相关情况，以及参加采购活动的供应商名单；</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（二）评审日期和地点，询价小组成员名单；</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（三）参加报价的供应商名单及报价情况和未参加报价的供应商名单及原因；</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（四）评审情况记录和说明，包括对供应商响应文件审查情况等；</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（五）推荐的成交候选供应商名单及理由。</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2.7询价小组在询价过程中，不得改变询价通知书所确定的技术和服务等要求、评审程序、评定成交的标准和合同文本等事项。</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2.8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供应商的澄清、说明或者更正材料应当采用书面形式，并由其法定代表人或其授权代表签字或者加盖公章。</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2.9供应商在报价过程中，不得串通。发现供应商存在串通的，询价小组应将其响应文件</w:t>
      </w:r>
      <w:r>
        <w:rPr>
          <w:rFonts w:hint="eastAsia" w:ascii="宋体" w:hAnsi="宋体" w:cs="宋体"/>
          <w:bCs/>
          <w:color w:val="auto"/>
          <w:sz w:val="24"/>
          <w:highlight w:val="none"/>
          <w:lang w:eastAsia="zh-CN"/>
        </w:rPr>
        <w:t>做</w:t>
      </w:r>
      <w:r>
        <w:rPr>
          <w:rFonts w:hint="eastAsia" w:ascii="宋体" w:hAnsi="宋体" w:cs="宋体"/>
          <w:bCs/>
          <w:color w:val="auto"/>
          <w:sz w:val="24"/>
          <w:highlight w:val="none"/>
        </w:rPr>
        <w:t>无效处理。</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2.10出现下列情形之一的，终止询价采购活动：</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（一）因情况变化，不再符合规定的询价采购方式适用情形的；</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（二）出现影响采购公正的违法、违规行为的；</w:t>
      </w:r>
    </w:p>
    <w:p>
      <w:pPr>
        <w:adjustRightInd w:val="0"/>
        <w:snapToGrid w:val="0"/>
        <w:spacing w:line="360" w:lineRule="exact"/>
        <w:ind w:left="120" w:leftChars="57"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（三）在采购过程中符合竞争要求的供应商或者报价未超过采购预算的供应商不足3家的。</w:t>
      </w:r>
    </w:p>
    <w:p>
      <w:pPr>
        <w:adjustRightInd w:val="0"/>
        <w:snapToGrid w:val="0"/>
        <w:spacing w:line="360" w:lineRule="exact"/>
        <w:ind w:firstLine="482"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3.评审纪律</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3.1询价小组在采购活动过程中，应当履行职责和义务，不得违</w:t>
      </w:r>
      <w:r>
        <w:rPr>
          <w:rFonts w:hint="eastAsia" w:ascii="宋体" w:hAnsi="宋体" w:cs="宋体"/>
          <w:bCs/>
          <w:color w:val="auto"/>
          <w:sz w:val="24"/>
          <w:highlight w:val="none"/>
          <w:lang w:eastAsia="zh-CN"/>
        </w:rPr>
        <w:t>反</w:t>
      </w:r>
      <w:r>
        <w:rPr>
          <w:rFonts w:hint="eastAsia" w:ascii="宋体" w:hAnsi="宋体" w:cs="宋体"/>
          <w:bCs/>
          <w:color w:val="auto"/>
          <w:sz w:val="24"/>
          <w:highlight w:val="none"/>
        </w:rPr>
        <w:t>评审、违反评审工作纪律。</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3.2评审过程在严格保密的情况下进行，任何单位和个人不得非法干预、影响询价过程和结果。</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3.3询价小组成员以及与评审工作有关的人员不得泄露评审情况以及评审过程中获悉的国家秘密、商业秘密。</w:t>
      </w:r>
    </w:p>
    <w:p>
      <w:pPr>
        <w:adjustRightInd w:val="0"/>
        <w:snapToGrid w:val="0"/>
        <w:spacing w:line="360" w:lineRule="exact"/>
        <w:ind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3.4 询价小组成员应当遵守下列工作纪律：</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（一）遵行询价通知书回避的规定。</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（二）评审前，应当将通讯工具或者相关电子设备交由监督人员统一保管。</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（三）评审过程中，不得与外界联系，因发生不可预见情况，确实需要与外界联系的，应当在监督人员监督之下办理。</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四）评审过程中，不得干预或者影响正常评审工作，不得发表倾向性、引导性意见，不得修改或细化询价通知书确定的评审程序、评审方法、评审因素和评审标准，不得接受供应商主动提出的澄清和解释，不得交头接耳，不得违反规定撰写评审意见，不得拒绝对</w:t>
      </w:r>
      <w:r>
        <w:rPr>
          <w:rFonts w:hint="eastAsia" w:ascii="宋体" w:hAnsi="宋体" w:cs="宋体"/>
          <w:bCs/>
          <w:color w:val="auto"/>
          <w:sz w:val="24"/>
          <w:highlight w:val="none"/>
          <w:lang w:eastAsia="zh-CN"/>
        </w:rPr>
        <w:t>自己</w:t>
      </w:r>
      <w:r>
        <w:rPr>
          <w:rFonts w:hint="eastAsia" w:ascii="宋体" w:hAnsi="宋体" w:cs="宋体"/>
          <w:bCs/>
          <w:color w:val="auto"/>
          <w:sz w:val="24"/>
          <w:highlight w:val="none"/>
        </w:rPr>
        <w:t>的评审意见签字确认。</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（五）在评审过程中和评审结束后，不得记录、复制或带走任何评审资料，除因履行法律法规规定的义务外，不得向外界透露评审内容。</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（六）服从评审现场采购组织单位的现场秩序管理，接受评审现场监督人员的合法监督。</w:t>
      </w:r>
    </w:p>
    <w:p>
      <w:pPr>
        <w:adjustRightInd w:val="0"/>
        <w:snapToGrid w:val="0"/>
        <w:spacing w:line="3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（七）遵守有关廉洁自律规定，不得私下接触供应商，不得收受供应商及有关业务单位和个人的财物或好处，不得接受采购组织单位的请托。</w:t>
      </w:r>
    </w:p>
    <w:bookmarkEnd w:id="42"/>
    <w:bookmarkEnd w:id="43"/>
    <w:bookmarkEnd w:id="44"/>
    <w:p>
      <w:pPr>
        <w:pStyle w:val="22"/>
        <w:spacing w:line="360" w:lineRule="exact"/>
        <w:rPr>
          <w:rFonts w:hint="eastAsia" w:ascii="宋体" w:hAnsi="宋体" w:cs="宋体"/>
          <w:color w:val="auto"/>
          <w:highlight w:val="none"/>
        </w:rPr>
      </w:pPr>
      <w:bookmarkStart w:id="71" w:name="_Toc217446099"/>
      <w:bookmarkStart w:id="72" w:name="_Toc217446059"/>
      <w:r>
        <w:rPr>
          <w:rFonts w:hint="eastAsia" w:ascii="宋体" w:hAnsi="宋体" w:cs="宋体"/>
          <w:color w:val="auto"/>
          <w:highlight w:val="none"/>
        </w:rPr>
        <w:br w:type="page"/>
      </w:r>
      <w:bookmarkStart w:id="73" w:name="_Toc94213288"/>
      <w:bookmarkStart w:id="74" w:name="_Toc11735"/>
      <w:bookmarkStart w:id="75" w:name="_Toc22696"/>
      <w:bookmarkStart w:id="76" w:name="_Toc31716"/>
      <w:bookmarkStart w:id="77" w:name="_Toc30319"/>
      <w:r>
        <w:rPr>
          <w:rFonts w:hint="eastAsia" w:ascii="宋体" w:hAnsi="宋体" w:cs="宋体"/>
          <w:color w:val="auto"/>
          <w:highlight w:val="none"/>
        </w:rPr>
        <w:t>第七章  造价咨询服务合同（草案）</w:t>
      </w:r>
      <w:bookmarkEnd w:id="73"/>
      <w:bookmarkEnd w:id="74"/>
      <w:bookmarkEnd w:id="75"/>
      <w:bookmarkEnd w:id="76"/>
      <w:bookmarkEnd w:id="77"/>
    </w:p>
    <w:p>
      <w:pPr>
        <w:pStyle w:val="50"/>
        <w:spacing w:line="360" w:lineRule="exact"/>
        <w:ind w:firstLine="482"/>
        <w:rPr>
          <w:rFonts w:hint="eastAsia" w:ascii="宋体" w:hAnsi="宋体"/>
          <w:b/>
          <w:color w:val="auto"/>
          <w:highlight w:val="none"/>
        </w:rPr>
      </w:pPr>
    </w:p>
    <w:bookmarkEnd w:id="71"/>
    <w:bookmarkEnd w:id="72"/>
    <w:p>
      <w:pPr>
        <w:spacing w:line="0" w:lineRule="atLeast"/>
        <w:rPr>
          <w:rFonts w:eastAsia="Times New Roman"/>
          <w:b/>
          <w:bCs/>
          <w:color w:val="auto"/>
          <w:sz w:val="30"/>
          <w:highlight w:val="none"/>
        </w:rPr>
      </w:pPr>
      <w:r>
        <w:rPr>
          <w:rFonts w:eastAsia="Times New Roman"/>
          <w:b/>
          <w:bCs/>
          <w:color w:val="auto"/>
          <w:sz w:val="30"/>
          <w:highlight w:val="none"/>
        </w:rPr>
        <w:t>GF</w:t>
      </w:r>
      <w:r>
        <w:rPr>
          <w:rFonts w:ascii="Arial" w:hAnsi="Arial" w:eastAsia="Arial"/>
          <w:b/>
          <w:bCs/>
          <w:color w:val="auto"/>
          <w:sz w:val="30"/>
          <w:highlight w:val="none"/>
        </w:rPr>
        <w:t>—</w:t>
      </w:r>
      <w:r>
        <w:rPr>
          <w:rFonts w:eastAsia="Times New Roman"/>
          <w:b/>
          <w:bCs/>
          <w:color w:val="auto"/>
          <w:sz w:val="30"/>
          <w:highlight w:val="none"/>
        </w:rPr>
        <w:t>2015</w:t>
      </w:r>
      <w:r>
        <w:rPr>
          <w:rFonts w:ascii="Arial" w:hAnsi="Arial" w:eastAsia="Arial"/>
          <w:b/>
          <w:bCs/>
          <w:color w:val="auto"/>
          <w:sz w:val="30"/>
          <w:highlight w:val="none"/>
        </w:rPr>
        <w:t>—</w:t>
      </w:r>
      <w:r>
        <w:rPr>
          <w:rFonts w:eastAsia="Times New Roman"/>
          <w:b/>
          <w:bCs/>
          <w:color w:val="auto"/>
          <w:sz w:val="30"/>
          <w:highlight w:val="none"/>
        </w:rPr>
        <w:t>0212</w:t>
      </w:r>
    </w:p>
    <w:p>
      <w:pPr>
        <w:spacing w:line="271" w:lineRule="exact"/>
        <w:rPr>
          <w:rFonts w:eastAsia="Times New Roman"/>
          <w:b/>
          <w:bCs/>
          <w:color w:val="auto"/>
          <w:sz w:val="24"/>
          <w:highlight w:val="none"/>
        </w:rPr>
      </w:pPr>
    </w:p>
    <w:p>
      <w:pPr>
        <w:spacing w:line="0" w:lineRule="atLeast"/>
        <w:ind w:left="5400"/>
        <w:rPr>
          <w:rFonts w:hint="eastAsia" w:ascii="华文中宋" w:hAnsi="华文中宋" w:eastAsia="华文中宋"/>
          <w:b/>
          <w:bCs/>
          <w:color w:val="auto"/>
          <w:sz w:val="30"/>
          <w:highlight w:val="none"/>
          <w:lang w:eastAsia="zh-CN"/>
        </w:rPr>
      </w:pPr>
      <w:r>
        <w:rPr>
          <w:rFonts w:ascii="华文中宋" w:hAnsi="华文中宋" w:eastAsia="华文中宋"/>
          <w:b/>
          <w:bCs/>
          <w:color w:val="auto"/>
          <w:sz w:val="30"/>
          <w:highlight w:val="none"/>
        </w:rPr>
        <w:t>合同编号：</w:t>
      </w:r>
    </w:p>
    <w:p>
      <w:pPr>
        <w:spacing w:line="200" w:lineRule="exact"/>
        <w:rPr>
          <w:rFonts w:eastAsia="Times New Roman"/>
          <w:b/>
          <w:bCs/>
          <w:color w:val="auto"/>
          <w:sz w:val="24"/>
          <w:highlight w:val="none"/>
        </w:rPr>
      </w:pPr>
      <w:r>
        <w:rPr>
          <w:rFonts w:ascii="华文中宋" w:hAnsi="华文中宋" w:eastAsia="华文中宋"/>
          <w:b/>
          <w:bCs/>
          <w:color w:val="auto"/>
          <w:sz w:val="30"/>
          <w:highlight w:val="none"/>
        </w:rPr>
        <w:drawing>
          <wp:anchor distT="0" distB="0" distL="114300" distR="114300" simplePos="0" relativeHeight="251659264" behindDoc="1" locked="0" layoutInCell="0" allowOverlap="1">
            <wp:simplePos x="0" y="0"/>
            <wp:positionH relativeFrom="column">
              <wp:posOffset>4375785</wp:posOffset>
            </wp:positionH>
            <wp:positionV relativeFrom="paragraph">
              <wp:posOffset>-38735</wp:posOffset>
            </wp:positionV>
            <wp:extent cx="1219200" cy="18415"/>
            <wp:effectExtent l="0" t="0" r="0" b="63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6"/>
                    <a:stretch>
                      <a:fillRect/>
                    </a:stretch>
                  </pic:blipFill>
                  <pic:spPr>
                    <a:xfrm>
                      <a:off x="0" y="0"/>
                      <a:ext cx="1219200" cy="18415"/>
                    </a:xfrm>
                    <a:prstGeom prst="rect">
                      <a:avLst/>
                    </a:prstGeom>
                    <a:noFill/>
                    <a:ln>
                      <a:noFill/>
                    </a:ln>
                  </pic:spPr>
                </pic:pic>
              </a:graphicData>
            </a:graphic>
          </wp:anchor>
        </w:drawing>
      </w:r>
    </w:p>
    <w:p>
      <w:pPr>
        <w:spacing w:line="200" w:lineRule="exact"/>
        <w:rPr>
          <w:rFonts w:eastAsia="Times New Roman"/>
          <w:b/>
          <w:bCs/>
          <w:color w:val="auto"/>
          <w:sz w:val="24"/>
          <w:highlight w:val="none"/>
        </w:rPr>
      </w:pPr>
    </w:p>
    <w:p>
      <w:pPr>
        <w:spacing w:line="200" w:lineRule="exact"/>
        <w:rPr>
          <w:rFonts w:eastAsia="Times New Roman"/>
          <w:b/>
          <w:bCs/>
          <w:color w:val="auto"/>
          <w:sz w:val="24"/>
          <w:highlight w:val="none"/>
        </w:rPr>
      </w:pPr>
    </w:p>
    <w:p>
      <w:pPr>
        <w:spacing w:line="200" w:lineRule="exact"/>
        <w:rPr>
          <w:rFonts w:eastAsia="Times New Roman"/>
          <w:b/>
          <w:bCs/>
          <w:color w:val="auto"/>
          <w:sz w:val="24"/>
          <w:highlight w:val="none"/>
        </w:rPr>
      </w:pPr>
    </w:p>
    <w:p>
      <w:pPr>
        <w:spacing w:line="200" w:lineRule="exact"/>
        <w:rPr>
          <w:rFonts w:eastAsia="Times New Roman"/>
          <w:b/>
          <w:bCs/>
          <w:color w:val="auto"/>
          <w:sz w:val="24"/>
          <w:highlight w:val="none"/>
        </w:rPr>
      </w:pPr>
    </w:p>
    <w:p>
      <w:pPr>
        <w:spacing w:line="200" w:lineRule="exact"/>
        <w:rPr>
          <w:rFonts w:eastAsia="Times New Roman"/>
          <w:b/>
          <w:bCs/>
          <w:color w:val="auto"/>
          <w:sz w:val="24"/>
          <w:highlight w:val="none"/>
        </w:rPr>
      </w:pPr>
    </w:p>
    <w:p>
      <w:pPr>
        <w:spacing w:line="200" w:lineRule="exact"/>
        <w:rPr>
          <w:rFonts w:eastAsia="Times New Roman"/>
          <w:b/>
          <w:bCs/>
          <w:color w:val="auto"/>
          <w:sz w:val="24"/>
          <w:highlight w:val="none"/>
        </w:rPr>
      </w:pPr>
    </w:p>
    <w:p>
      <w:pPr>
        <w:spacing w:line="200" w:lineRule="exact"/>
        <w:rPr>
          <w:rFonts w:eastAsia="Times New Roman"/>
          <w:b/>
          <w:bCs/>
          <w:color w:val="auto"/>
          <w:sz w:val="24"/>
          <w:highlight w:val="none"/>
        </w:rPr>
      </w:pPr>
    </w:p>
    <w:p>
      <w:pPr>
        <w:spacing w:line="200" w:lineRule="exact"/>
        <w:rPr>
          <w:rFonts w:eastAsia="Times New Roman"/>
          <w:b/>
          <w:bCs/>
          <w:color w:val="auto"/>
          <w:sz w:val="24"/>
          <w:highlight w:val="none"/>
        </w:rPr>
      </w:pPr>
    </w:p>
    <w:p>
      <w:pPr>
        <w:spacing w:line="200" w:lineRule="exact"/>
        <w:rPr>
          <w:rFonts w:eastAsia="Times New Roman"/>
          <w:b/>
          <w:bCs/>
          <w:color w:val="auto"/>
          <w:sz w:val="24"/>
          <w:highlight w:val="none"/>
        </w:rPr>
      </w:pPr>
    </w:p>
    <w:p>
      <w:pPr>
        <w:spacing w:line="200" w:lineRule="exact"/>
        <w:rPr>
          <w:rFonts w:eastAsia="Times New Roman"/>
          <w:b/>
          <w:bCs/>
          <w:color w:val="auto"/>
          <w:sz w:val="24"/>
          <w:highlight w:val="none"/>
        </w:rPr>
      </w:pPr>
    </w:p>
    <w:p>
      <w:pPr>
        <w:spacing w:line="244" w:lineRule="exact"/>
        <w:rPr>
          <w:rFonts w:eastAsia="Times New Roman"/>
          <w:b/>
          <w:bCs/>
          <w:color w:val="auto"/>
          <w:sz w:val="24"/>
          <w:highlight w:val="none"/>
        </w:rPr>
      </w:pPr>
    </w:p>
    <w:p>
      <w:pPr>
        <w:spacing w:line="239" w:lineRule="auto"/>
        <w:jc w:val="right"/>
        <w:rPr>
          <w:rFonts w:ascii="华文中宋" w:hAnsi="华文中宋" w:eastAsia="华文中宋"/>
          <w:b/>
          <w:bCs/>
          <w:color w:val="auto"/>
          <w:sz w:val="72"/>
          <w:highlight w:val="none"/>
        </w:rPr>
      </w:pPr>
      <w:r>
        <w:rPr>
          <w:rFonts w:ascii="华文中宋" w:hAnsi="华文中宋" w:eastAsia="华文中宋"/>
          <w:b/>
          <w:bCs/>
          <w:color w:val="auto"/>
          <w:sz w:val="72"/>
          <w:highlight w:val="none"/>
        </w:rPr>
        <w:t>建设工程造价咨询合同</w:t>
      </w:r>
    </w:p>
    <w:p>
      <w:pPr>
        <w:spacing w:line="276" w:lineRule="exact"/>
        <w:rPr>
          <w:rFonts w:eastAsia="Times New Roman"/>
          <w:b/>
          <w:bCs/>
          <w:color w:val="auto"/>
          <w:sz w:val="24"/>
          <w:highlight w:val="none"/>
        </w:rPr>
      </w:pPr>
    </w:p>
    <w:p>
      <w:pPr>
        <w:spacing w:line="0" w:lineRule="atLeast"/>
        <w:ind w:left="2840"/>
        <w:rPr>
          <w:rFonts w:ascii="华文中宋" w:hAnsi="华文中宋" w:eastAsia="华文中宋"/>
          <w:b/>
          <w:bCs/>
          <w:color w:val="auto"/>
          <w:sz w:val="52"/>
          <w:highlight w:val="none"/>
        </w:rPr>
      </w:pPr>
    </w:p>
    <w:p>
      <w:pPr>
        <w:spacing w:line="200" w:lineRule="exact"/>
        <w:rPr>
          <w:rFonts w:eastAsia="Times New Roman"/>
          <w:b/>
          <w:bCs/>
          <w:color w:val="auto"/>
          <w:sz w:val="24"/>
          <w:highlight w:val="none"/>
        </w:rPr>
      </w:pPr>
    </w:p>
    <w:p>
      <w:pPr>
        <w:spacing w:line="200" w:lineRule="exact"/>
        <w:rPr>
          <w:rFonts w:eastAsia="Times New Roman"/>
          <w:color w:val="auto"/>
          <w:sz w:val="24"/>
          <w:highlight w:val="none"/>
        </w:rPr>
      </w:pPr>
    </w:p>
    <w:p>
      <w:pPr>
        <w:spacing w:line="200" w:lineRule="exact"/>
        <w:rPr>
          <w:rFonts w:eastAsia="Times New Roman"/>
          <w:color w:val="auto"/>
          <w:sz w:val="24"/>
          <w:highlight w:val="none"/>
        </w:rPr>
      </w:pPr>
    </w:p>
    <w:p>
      <w:pPr>
        <w:spacing w:line="200" w:lineRule="exact"/>
        <w:rPr>
          <w:rFonts w:eastAsia="Times New Roman"/>
          <w:color w:val="auto"/>
          <w:sz w:val="24"/>
          <w:highlight w:val="none"/>
        </w:rPr>
      </w:pPr>
    </w:p>
    <w:p>
      <w:pPr>
        <w:spacing w:line="200" w:lineRule="exact"/>
        <w:rPr>
          <w:rFonts w:hint="eastAsia"/>
          <w:color w:val="auto"/>
          <w:sz w:val="24"/>
          <w:highlight w:val="none"/>
        </w:rPr>
      </w:pPr>
    </w:p>
    <w:p>
      <w:pPr>
        <w:spacing w:line="200" w:lineRule="exact"/>
        <w:rPr>
          <w:rFonts w:eastAsia="Times New Roman"/>
          <w:color w:val="auto"/>
          <w:sz w:val="24"/>
          <w:highlight w:val="none"/>
        </w:rPr>
      </w:pPr>
    </w:p>
    <w:p>
      <w:pPr>
        <w:spacing w:line="200" w:lineRule="exact"/>
        <w:rPr>
          <w:rFonts w:eastAsia="Times New Roman"/>
          <w:color w:val="auto"/>
          <w:sz w:val="24"/>
          <w:highlight w:val="none"/>
        </w:rPr>
      </w:pPr>
    </w:p>
    <w:p>
      <w:pPr>
        <w:spacing w:line="200" w:lineRule="exact"/>
        <w:rPr>
          <w:rFonts w:eastAsia="Times New Roman"/>
          <w:color w:val="auto"/>
          <w:sz w:val="24"/>
          <w:highlight w:val="none"/>
        </w:rPr>
      </w:pPr>
    </w:p>
    <w:p>
      <w:pPr>
        <w:spacing w:line="200" w:lineRule="exact"/>
        <w:rPr>
          <w:rFonts w:eastAsia="Times New Roman"/>
          <w:color w:val="auto"/>
          <w:sz w:val="24"/>
          <w:highlight w:val="none"/>
        </w:rPr>
      </w:pPr>
    </w:p>
    <w:p>
      <w:pPr>
        <w:spacing w:line="200" w:lineRule="exact"/>
        <w:rPr>
          <w:rFonts w:eastAsia="Times New Roman"/>
          <w:color w:val="auto"/>
          <w:sz w:val="24"/>
          <w:highlight w:val="none"/>
        </w:rPr>
      </w:pPr>
    </w:p>
    <w:p>
      <w:pPr>
        <w:spacing w:line="200" w:lineRule="exact"/>
        <w:rPr>
          <w:rFonts w:eastAsia="Times New Roman"/>
          <w:color w:val="auto"/>
          <w:sz w:val="24"/>
          <w:highlight w:val="none"/>
        </w:rPr>
      </w:pPr>
    </w:p>
    <w:p>
      <w:pPr>
        <w:spacing w:line="200" w:lineRule="exact"/>
        <w:rPr>
          <w:rFonts w:eastAsia="Times New Roman"/>
          <w:color w:val="auto"/>
          <w:sz w:val="24"/>
          <w:highlight w:val="none"/>
        </w:rPr>
      </w:pPr>
    </w:p>
    <w:p>
      <w:pPr>
        <w:spacing w:line="200" w:lineRule="exact"/>
        <w:rPr>
          <w:rFonts w:eastAsia="Times New Roman"/>
          <w:color w:val="auto"/>
          <w:sz w:val="24"/>
          <w:highlight w:val="none"/>
        </w:rPr>
      </w:pPr>
    </w:p>
    <w:p>
      <w:pPr>
        <w:spacing w:line="200" w:lineRule="exact"/>
        <w:rPr>
          <w:rFonts w:eastAsia="Times New Roman"/>
          <w:color w:val="auto"/>
          <w:sz w:val="24"/>
          <w:highlight w:val="none"/>
        </w:rPr>
      </w:pPr>
    </w:p>
    <w:p>
      <w:pPr>
        <w:spacing w:line="200" w:lineRule="exact"/>
        <w:rPr>
          <w:rFonts w:eastAsia="Times New Roman"/>
          <w:color w:val="auto"/>
          <w:sz w:val="24"/>
          <w:highlight w:val="none"/>
        </w:rPr>
      </w:pPr>
    </w:p>
    <w:p>
      <w:pPr>
        <w:spacing w:line="200" w:lineRule="exact"/>
        <w:rPr>
          <w:rFonts w:eastAsia="Times New Roman"/>
          <w:color w:val="auto"/>
          <w:sz w:val="24"/>
          <w:highlight w:val="none"/>
        </w:rPr>
      </w:pPr>
    </w:p>
    <w:p>
      <w:pPr>
        <w:spacing w:line="200" w:lineRule="exact"/>
        <w:rPr>
          <w:rFonts w:eastAsia="Times New Roman"/>
          <w:color w:val="auto"/>
          <w:sz w:val="24"/>
          <w:highlight w:val="none"/>
        </w:rPr>
      </w:pPr>
    </w:p>
    <w:p>
      <w:pPr>
        <w:spacing w:line="200" w:lineRule="exact"/>
        <w:rPr>
          <w:rFonts w:eastAsia="Times New Roman"/>
          <w:color w:val="auto"/>
          <w:sz w:val="24"/>
          <w:highlight w:val="none"/>
        </w:rPr>
      </w:pPr>
    </w:p>
    <w:p>
      <w:pPr>
        <w:spacing w:line="200" w:lineRule="exact"/>
        <w:rPr>
          <w:rFonts w:eastAsia="Times New Roman"/>
          <w:color w:val="auto"/>
          <w:sz w:val="24"/>
          <w:highlight w:val="none"/>
        </w:rPr>
      </w:pPr>
    </w:p>
    <w:p>
      <w:pPr>
        <w:spacing w:line="200" w:lineRule="exact"/>
        <w:rPr>
          <w:rFonts w:eastAsia="Times New Roman"/>
          <w:color w:val="auto"/>
          <w:sz w:val="24"/>
          <w:highlight w:val="none"/>
        </w:rPr>
      </w:pPr>
    </w:p>
    <w:p>
      <w:pPr>
        <w:spacing w:line="200" w:lineRule="exact"/>
        <w:rPr>
          <w:rFonts w:eastAsia="Times New Roman"/>
          <w:color w:val="auto"/>
          <w:sz w:val="24"/>
          <w:highlight w:val="none"/>
        </w:rPr>
      </w:pPr>
    </w:p>
    <w:p>
      <w:pPr>
        <w:spacing w:line="200" w:lineRule="exact"/>
        <w:rPr>
          <w:rFonts w:eastAsia="Times New Roman"/>
          <w:color w:val="auto"/>
          <w:sz w:val="24"/>
          <w:highlight w:val="none"/>
        </w:rPr>
      </w:pPr>
    </w:p>
    <w:p>
      <w:pPr>
        <w:spacing w:line="200" w:lineRule="exact"/>
        <w:rPr>
          <w:rFonts w:eastAsia="Times New Roman"/>
          <w:color w:val="auto"/>
          <w:sz w:val="24"/>
          <w:highlight w:val="none"/>
        </w:rPr>
      </w:pPr>
    </w:p>
    <w:p>
      <w:pPr>
        <w:spacing w:line="200" w:lineRule="exact"/>
        <w:rPr>
          <w:rFonts w:eastAsia="Times New Roman"/>
          <w:color w:val="auto"/>
          <w:sz w:val="24"/>
          <w:highlight w:val="none"/>
        </w:rPr>
      </w:pPr>
    </w:p>
    <w:p>
      <w:pPr>
        <w:spacing w:line="219" w:lineRule="exact"/>
        <w:rPr>
          <w:rFonts w:eastAsia="Times New Roman"/>
          <w:b/>
          <w:bCs/>
          <w:color w:val="auto"/>
          <w:sz w:val="24"/>
          <w:highlight w:val="none"/>
        </w:rPr>
      </w:pPr>
    </w:p>
    <w:p>
      <w:pPr>
        <w:spacing w:line="0" w:lineRule="atLeast"/>
        <w:ind w:left="2400"/>
        <w:rPr>
          <w:rFonts w:ascii="宋体" w:hAnsi="宋体"/>
          <w:b/>
          <w:bCs/>
          <w:color w:val="auto"/>
          <w:sz w:val="32"/>
          <w:highlight w:val="none"/>
        </w:rPr>
      </w:pPr>
      <w:r>
        <w:rPr>
          <w:rFonts w:ascii="宋体" w:hAnsi="宋体"/>
          <w:b/>
          <w:bCs/>
          <w:color w:val="auto"/>
          <w:sz w:val="32"/>
          <w:highlight w:val="none"/>
        </w:rPr>
        <w:t>住 房 城 乡 建 设 部</w:t>
      </w:r>
    </w:p>
    <w:p>
      <w:pPr>
        <w:spacing w:line="227" w:lineRule="auto"/>
        <w:ind w:left="5920"/>
        <w:rPr>
          <w:rFonts w:ascii="宋体" w:hAnsi="宋体"/>
          <w:b/>
          <w:bCs/>
          <w:color w:val="auto"/>
          <w:sz w:val="32"/>
          <w:highlight w:val="none"/>
        </w:rPr>
      </w:pPr>
      <w:r>
        <w:rPr>
          <w:rFonts w:ascii="宋体" w:hAnsi="宋体"/>
          <w:b/>
          <w:bCs/>
          <w:color w:val="auto"/>
          <w:sz w:val="32"/>
          <w:highlight w:val="none"/>
        </w:rPr>
        <w:t>制定</w:t>
      </w:r>
    </w:p>
    <w:p>
      <w:pPr>
        <w:spacing w:line="195" w:lineRule="exact"/>
        <w:rPr>
          <w:rFonts w:eastAsia="Times New Roman"/>
          <w:b/>
          <w:bCs/>
          <w:color w:val="auto"/>
          <w:sz w:val="24"/>
          <w:highlight w:val="none"/>
        </w:rPr>
      </w:pPr>
    </w:p>
    <w:p>
      <w:pPr>
        <w:spacing w:line="0" w:lineRule="atLeast"/>
        <w:ind w:left="2400"/>
        <w:rPr>
          <w:rFonts w:ascii="宋体" w:hAnsi="宋体"/>
          <w:b/>
          <w:bCs/>
          <w:color w:val="auto"/>
          <w:sz w:val="32"/>
          <w:highlight w:val="none"/>
        </w:rPr>
      </w:pPr>
      <w:r>
        <w:rPr>
          <w:rFonts w:ascii="宋体" w:hAnsi="宋体"/>
          <w:b/>
          <w:bCs/>
          <w:color w:val="auto"/>
          <w:sz w:val="32"/>
          <w:highlight w:val="none"/>
        </w:rPr>
        <w:t>国家工商行政管理总局</w:t>
      </w:r>
    </w:p>
    <w:p>
      <w:pPr>
        <w:spacing w:line="0" w:lineRule="atLeast"/>
        <w:rPr>
          <w:rFonts w:ascii="宋体" w:hAnsi="宋体"/>
          <w:color w:val="auto"/>
          <w:sz w:val="32"/>
          <w:highlight w:val="none"/>
        </w:rPr>
        <w:sectPr>
          <w:pgSz w:w="11900" w:h="16838"/>
          <w:pgMar w:top="1440" w:right="2360" w:bottom="0" w:left="1540" w:header="1871" w:footer="992" w:gutter="0"/>
          <w:pgNumType w:fmt="decimal"/>
          <w:cols w:space="720" w:num="1"/>
          <w:docGrid w:linePitch="360" w:charSpace="0"/>
        </w:sectPr>
      </w:pPr>
    </w:p>
    <w:p>
      <w:pPr>
        <w:spacing w:line="68" w:lineRule="exact"/>
        <w:rPr>
          <w:rFonts w:eastAsia="Times New Roman"/>
          <w:b/>
          <w:bCs/>
          <w:color w:val="auto"/>
          <w:highlight w:val="none"/>
        </w:rPr>
      </w:pPr>
    </w:p>
    <w:p>
      <w:pPr>
        <w:pageBreakBefore w:val="0"/>
        <w:widowControl/>
        <w:kinsoku/>
        <w:wordWrap/>
        <w:overflowPunct/>
        <w:topLinePunct w:val="0"/>
        <w:autoSpaceDE/>
        <w:autoSpaceDN/>
        <w:bidi w:val="0"/>
        <w:adjustRightInd/>
        <w:snapToGrid/>
        <w:spacing w:line="360" w:lineRule="exact"/>
        <w:ind w:left="374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 明</w:t>
      </w:r>
    </w:p>
    <w:p>
      <w:pPr>
        <w:pageBreakBefore w:val="0"/>
        <w:widowControl/>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p>
    <w:p>
      <w:pPr>
        <w:pageBreakBefore w:val="0"/>
        <w:widowControl/>
        <w:kinsoku/>
        <w:wordWrap/>
        <w:overflowPunct/>
        <w:topLinePunct w:val="0"/>
        <w:autoSpaceDE/>
        <w:autoSpaceDN/>
        <w:bidi w:val="0"/>
        <w:adjustRightInd/>
        <w:snapToGrid/>
        <w:spacing w:line="3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为了指导建设工程造价咨询合同当事人的签约行为，维护合同当事人的合法权益，依据《中华人民共和国民法典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中华人民共和国建筑法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招标投标法》以及相关法律法规，住房和城乡建设部、国家工商行政管理总局对《建设工程造价咨询合同（示范文本）》（GF-2002-0212）进行了修订，制定了《建设工程造价咨询合同（示范文本）》（GF-2015- 0212 ）（以下简称《示范文本》）。为了便于合同当事人使用《示范文本》，现就有关问题说明如下；</w:t>
      </w:r>
    </w:p>
    <w:p>
      <w:pPr>
        <w:pageBreakBefore w:val="0"/>
        <w:widowControl/>
        <w:kinsoku/>
        <w:wordWrap/>
        <w:overflowPunct/>
        <w:topLinePunct w:val="0"/>
        <w:autoSpaceDE/>
        <w:autoSpaceDN/>
        <w:bidi w:val="0"/>
        <w:adjustRightInd/>
        <w:snapToGrid/>
        <w:spacing w:line="3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一、《示范文本》的组成</w:t>
      </w:r>
    </w:p>
    <w:p>
      <w:pPr>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《示范文本》由协议书、通用条件和专用条件三部分组成。</w:t>
      </w:r>
    </w:p>
    <w:p>
      <w:pPr>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（一）协议书 </w:t>
      </w:r>
    </w:p>
    <w:p>
      <w:pPr>
        <w:pageBreakBefore w:val="0"/>
        <w:widowControl/>
        <w:kinsoku/>
        <w:wordWrap/>
        <w:overflowPunct/>
        <w:topLinePunct w:val="0"/>
        <w:autoSpaceDE/>
        <w:autoSpaceDN/>
        <w:bidi w:val="0"/>
        <w:adjustRightInd/>
        <w:snapToGrid/>
        <w:spacing w:line="3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《示范文本》协议书集中约定了合同当事人基本的合同权利义务。</w:t>
      </w:r>
    </w:p>
    <w:p>
      <w:pPr>
        <w:pageBreakBefore w:val="0"/>
        <w:widowControl/>
        <w:kinsoku/>
        <w:wordWrap/>
        <w:overflowPunct/>
        <w:topLinePunct w:val="0"/>
        <w:autoSpaceDE/>
        <w:autoSpaceDN/>
        <w:bidi w:val="0"/>
        <w:adjustRightInd/>
        <w:snapToGrid/>
        <w:spacing w:line="3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（二）通用条件 </w:t>
      </w:r>
    </w:p>
    <w:p>
      <w:pPr>
        <w:pageBreakBefore w:val="0"/>
        <w:widowControl/>
        <w:kinsoku/>
        <w:wordWrap/>
        <w:overflowPunct/>
        <w:topLinePunct w:val="0"/>
        <w:autoSpaceDE/>
        <w:autoSpaceDN/>
        <w:bidi w:val="0"/>
        <w:adjustRightInd/>
        <w:snapToGrid/>
        <w:spacing w:line="3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通用条件是合同当事人根据《中华人民共和国</w:t>
      </w:r>
      <w:r>
        <w:rPr>
          <w:rFonts w:hint="default" w:ascii="宋体" w:hAnsi="宋体" w:eastAsia="宋体" w:cs="宋体"/>
          <w:color w:val="auto"/>
          <w:sz w:val="24"/>
          <w:szCs w:val="24"/>
          <w:highlight w:val="none"/>
          <w:lang w:val="en-US"/>
        </w:rPr>
        <w:t>合同法</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中华人民共和国建筑法》等法律法规的规定，就工程造价咨询的实施及相关事项，对合同当事人的权 利义务作出的原则性约定。通用条件既考虑了现行法律法规对工程发承包计价的有关要求，也考虑了工程 造价咨询管理的特殊需要。</w:t>
      </w:r>
    </w:p>
    <w:p>
      <w:pPr>
        <w:pageBreakBefore w:val="0"/>
        <w:widowControl/>
        <w:kinsoku/>
        <w:wordWrap/>
        <w:overflowPunct/>
        <w:topLinePunct w:val="0"/>
        <w:autoSpaceDE/>
        <w:autoSpaceDN/>
        <w:bidi w:val="0"/>
        <w:adjustRightInd/>
        <w:snapToGrid/>
        <w:spacing w:line="3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（三）专用条件 </w:t>
      </w:r>
    </w:p>
    <w:p>
      <w:pPr>
        <w:pageBreakBefore w:val="0"/>
        <w:widowControl/>
        <w:kinsoku/>
        <w:wordWrap/>
        <w:overflowPunct/>
        <w:topLinePunct w:val="0"/>
        <w:autoSpaceDE/>
        <w:autoSpaceDN/>
        <w:bidi w:val="0"/>
        <w:adjustRightInd/>
        <w:snapToGrid/>
        <w:spacing w:line="3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条件是对通用条件原则性约定的细化、完善、补充、修改或另行约定的条件。合同当事人可以根据不同建设工程的特点及发承包计价的具体情况，通过双方的谈判、协商对相应的专用条件进行修改补充。在使用专用条件时，应注意以下事项：</w:t>
      </w:r>
    </w:p>
    <w:p>
      <w:pPr>
        <w:pageBreakBefore w:val="0"/>
        <w:widowControl/>
        <w:kinsoku/>
        <w:wordWrap/>
        <w:overflowPunct/>
        <w:topLinePunct w:val="0"/>
        <w:autoSpaceDE/>
        <w:autoSpaceDN/>
        <w:bidi w:val="0"/>
        <w:adjustRightInd/>
        <w:snapToGrid/>
        <w:spacing w:line="3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1.专用条件的编号应与相应的通用条件的编号一致；</w:t>
      </w:r>
    </w:p>
    <w:p>
      <w:pPr>
        <w:pageBreakBefore w:val="0"/>
        <w:widowControl/>
        <w:kinsoku/>
        <w:wordWrap/>
        <w:overflowPunct/>
        <w:topLinePunct w:val="0"/>
        <w:autoSpaceDE/>
        <w:autoSpaceDN/>
        <w:bidi w:val="0"/>
        <w:adjustRightInd/>
        <w:snapToGrid/>
        <w:spacing w:line="3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2.合同当事人可以通过对专用条件的修改，满足具体工程的特殊要求，避免直接修改通用条件；</w:t>
      </w:r>
    </w:p>
    <w:p>
      <w:pPr>
        <w:pageBreakBefore w:val="0"/>
        <w:widowControl/>
        <w:kinsoku/>
        <w:wordWrap/>
        <w:overflowPunct/>
        <w:topLinePunct w:val="0"/>
        <w:autoSpaceDE/>
        <w:autoSpaceDN/>
        <w:bidi w:val="0"/>
        <w:adjustRightInd/>
        <w:snapToGrid/>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3.在专用条件中有横道线的地方，合同当事人可针对相应的通用条件进行细化、完善、补充、修改或另行约定；如无细化、完善、补充、修改或另行约定，则填写“无”或划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p>
    <w:p>
      <w:pPr>
        <w:pageBreakBefore w:val="0"/>
        <w:widowControl/>
        <w:kinsoku/>
        <w:wordWrap/>
        <w:overflowPunct/>
        <w:topLinePunct w:val="0"/>
        <w:autoSpaceDE/>
        <w:autoSpaceDN/>
        <w:bidi w:val="0"/>
        <w:adjustRightInd/>
        <w:snapToGrid/>
        <w:spacing w:line="3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二、《示范文本》的性质和适用范围</w:t>
      </w:r>
    </w:p>
    <w:p>
      <w:pPr>
        <w:pageBreakBefore w:val="0"/>
        <w:widowControl/>
        <w:kinsoku/>
        <w:wordWrap/>
        <w:overflowPunct/>
        <w:topLinePunct w:val="0"/>
        <w:autoSpaceDE/>
        <w:autoSpaceDN/>
        <w:bidi w:val="0"/>
        <w:adjustRightInd/>
        <w:snapToGrid/>
        <w:spacing w:line="360" w:lineRule="exact"/>
        <w:ind w:firstLine="480" w:firstLineChars="200"/>
        <w:jc w:val="both"/>
        <w:rPr>
          <w:rFonts w:hint="eastAsia" w:ascii="宋体" w:hAnsi="宋体" w:eastAsia="宋体" w:cs="宋体"/>
          <w:color w:val="auto"/>
          <w:sz w:val="24"/>
          <w:szCs w:val="24"/>
          <w:highlight w:val="none"/>
        </w:rPr>
      </w:pPr>
      <w:bookmarkStart w:id="78" w:name="page3"/>
      <w:bookmarkEnd w:id="78"/>
      <w:r>
        <w:rPr>
          <w:rFonts w:hint="eastAsia" w:ascii="宋体" w:hAnsi="宋体" w:eastAsia="宋体" w:cs="宋体"/>
          <w:color w:val="auto"/>
          <w:sz w:val="24"/>
          <w:szCs w:val="24"/>
          <w:highlight w:val="none"/>
        </w:rPr>
        <w:t>《示范文本》供合同双方当事人参照使用，可适用于各类建设工程全过程造价咨询服务以及阶段性造价咨询服务的合同订立。合同当事人可结合建设工程具体情况，按照法律法规规定，根据《示范文本》的内容，约定双方具体的权利义务。</w:t>
      </w:r>
    </w:p>
    <w:p>
      <w:pPr>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sz w:val="24"/>
          <w:szCs w:val="24"/>
          <w:highlight w:val="none"/>
        </w:rPr>
        <w:sectPr>
          <w:footerReference r:id="rId10" w:type="default"/>
          <w:pgSz w:w="11900" w:h="16838"/>
          <w:pgMar w:top="1440" w:right="1797" w:bottom="1440" w:left="1797" w:header="1701" w:footer="992" w:gutter="0"/>
          <w:pgNumType w:fmt="decimal"/>
          <w:cols w:space="720" w:num="1"/>
          <w:docGrid w:linePitch="360" w:charSpace="0"/>
        </w:sectPr>
      </w:pPr>
    </w:p>
    <w:p>
      <w:pPr>
        <w:pStyle w:val="2"/>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bookmarkStart w:id="79" w:name="_Toc21719"/>
      <w:bookmarkStart w:id="80" w:name="_Toc2695"/>
      <w:bookmarkStart w:id="81" w:name="_Toc22750"/>
      <w:r>
        <w:rPr>
          <w:rFonts w:hint="eastAsia" w:ascii="宋体" w:hAnsi="宋体" w:eastAsia="宋体" w:cs="宋体"/>
          <w:color w:val="auto"/>
          <w:sz w:val="24"/>
          <w:szCs w:val="24"/>
          <w:highlight w:val="none"/>
        </w:rPr>
        <w:t>第一部分 协议书</w:t>
      </w:r>
      <w:bookmarkEnd w:id="79"/>
      <w:bookmarkEnd w:id="80"/>
      <w:bookmarkEnd w:id="81"/>
    </w:p>
    <w:p>
      <w:pPr>
        <w:pageBreakBefore w:val="0"/>
        <w:widowControl/>
        <w:kinsoku/>
        <w:wordWrap/>
        <w:overflowPunct/>
        <w:topLinePunct w:val="0"/>
        <w:autoSpaceDE/>
        <w:autoSpaceDN/>
        <w:bidi w:val="0"/>
        <w:adjustRightInd/>
        <w:snapToGrid/>
        <w:spacing w:line="360" w:lineRule="exact"/>
        <w:ind w:firstLine="481"/>
        <w:jc w:val="both"/>
        <w:textAlignment w:val="top"/>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委托人（全称）：</w:t>
      </w:r>
      <w:r>
        <w:rPr>
          <w:rFonts w:hint="eastAsia" w:ascii="宋体" w:hAnsi="宋体" w:eastAsia="宋体" w:cs="宋体"/>
          <w:b/>
          <w:bCs/>
          <w:color w:val="auto"/>
          <w:sz w:val="24"/>
          <w:szCs w:val="24"/>
          <w:highlight w:val="none"/>
          <w:lang w:val="en-US" w:eastAsia="zh-CN"/>
        </w:rPr>
        <w:t>四川新良大厦有限责任公司</w:t>
      </w:r>
      <w:r>
        <w:rPr>
          <w:rFonts w:hint="eastAsia" w:ascii="宋体" w:hAnsi="宋体" w:eastAsia="宋体" w:cs="宋体"/>
          <w:b/>
          <w:bCs/>
          <w:color w:val="auto"/>
          <w:sz w:val="24"/>
          <w:szCs w:val="24"/>
          <w:highlight w:val="none"/>
          <w:u w:val="none"/>
          <w:lang w:val="en-US" w:eastAsia="zh-CN"/>
        </w:rPr>
        <w:t xml:space="preserve">               </w:t>
      </w:r>
      <w:r>
        <w:rPr>
          <w:rFonts w:hint="eastAsia" w:ascii="宋体" w:hAnsi="宋体" w:eastAsia="宋体" w:cs="宋体"/>
          <w:b/>
          <w:bCs/>
          <w:color w:val="auto"/>
          <w:sz w:val="24"/>
          <w:szCs w:val="24"/>
          <w:highlight w:val="none"/>
          <w:u w:val="none"/>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b/>
          <w:bCs/>
          <w:color w:val="auto"/>
          <w:sz w:val="24"/>
          <w:szCs w:val="24"/>
          <w:highlight w:val="none"/>
          <w:u w:val="none"/>
        </w:rPr>
        <w:t xml:space="preserve"> </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 xml:space="preserve">    咨询人（全称）：</w:t>
      </w:r>
    </w:p>
    <w:p>
      <w:pPr>
        <w:pageBreakBefore w:val="0"/>
        <w:widowControl/>
        <w:kinsoku/>
        <w:wordWrap/>
        <w:overflowPunct/>
        <w:topLinePunct w:val="0"/>
        <w:autoSpaceDE/>
        <w:autoSpaceDN/>
        <w:bidi w:val="0"/>
        <w:adjustRightInd/>
        <w:snapToGrid/>
        <w:spacing w:line="360" w:lineRule="exact"/>
        <w:ind w:firstLine="480" w:firstLineChars="200"/>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根据《中华人民共和国民法典》及其他有关</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，遵循平等、自愿、公平和诚实信用的原则，双方就下述建设工程委托造价咨询与其他服务事项协商一致，订立本合同。</w:t>
      </w:r>
    </w:p>
    <w:p>
      <w:pPr>
        <w:pStyle w:val="3"/>
        <w:pageBreakBefore w:val="0"/>
        <w:widowControl/>
        <w:kinsoku/>
        <w:wordWrap/>
        <w:overflowPunct/>
        <w:topLinePunct w:val="0"/>
        <w:autoSpaceDE/>
        <w:autoSpaceDN/>
        <w:bidi w:val="0"/>
        <w:adjustRightInd/>
        <w:snapToGrid/>
        <w:spacing w:line="360" w:lineRule="exact"/>
        <w:rPr>
          <w:rFonts w:hint="eastAsia" w:ascii="宋体" w:hAnsi="宋体" w:eastAsia="宋体" w:cs="宋体"/>
          <w:b/>
          <w:bCs/>
          <w:color w:val="auto"/>
          <w:sz w:val="24"/>
          <w:szCs w:val="24"/>
          <w:highlight w:val="none"/>
        </w:rPr>
      </w:pPr>
      <w:bookmarkStart w:id="82" w:name="_Toc2055"/>
      <w:bookmarkStart w:id="83" w:name="_Toc30579"/>
      <w:r>
        <w:rPr>
          <w:rFonts w:hint="eastAsia" w:ascii="宋体" w:hAnsi="宋体" w:eastAsia="宋体" w:cs="宋体"/>
          <w:b/>
          <w:bCs/>
          <w:color w:val="auto"/>
          <w:sz w:val="24"/>
          <w:szCs w:val="24"/>
          <w:highlight w:val="none"/>
        </w:rPr>
        <w:t>一、工程概况</w:t>
      </w:r>
      <w:bookmarkEnd w:id="82"/>
      <w:bookmarkEnd w:id="83"/>
    </w:p>
    <w:p>
      <w:pPr>
        <w:pageBreakBefore w:val="0"/>
        <w:widowControl/>
        <w:kinsoku/>
        <w:wordWrap/>
        <w:overflowPunct/>
        <w:topLinePunct w:val="0"/>
        <w:autoSpaceDE/>
        <w:autoSpaceDN/>
        <w:bidi w:val="0"/>
        <w:adjustRightInd/>
        <w:snapToGrid/>
        <w:spacing w:line="360" w:lineRule="exact"/>
        <w:ind w:right="-630" w:rightChars="-300" w:firstLine="480" w:firstLineChars="200"/>
        <w:jc w:val="both"/>
        <w:textAlignment w:val="top"/>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 xml:space="preserve"> 1.工程名称</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新良大厦1-4号电梯更新改造项目</w:t>
      </w:r>
    </w:p>
    <w:p>
      <w:pPr>
        <w:pageBreakBefore w:val="0"/>
        <w:widowControl/>
        <w:kinsoku/>
        <w:wordWrap/>
        <w:overflowPunct/>
        <w:topLinePunct w:val="0"/>
        <w:autoSpaceDE/>
        <w:autoSpaceDN/>
        <w:bidi w:val="0"/>
        <w:adjustRightInd/>
        <w:snapToGrid/>
        <w:spacing w:line="360" w:lineRule="exact"/>
        <w:ind w:right="-630" w:rightChars="-300"/>
        <w:jc w:val="both"/>
        <w:textAlignment w:val="top"/>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 xml:space="preserve">     2.工程地点：</w:t>
      </w:r>
      <w:r>
        <w:rPr>
          <w:rFonts w:hint="eastAsia" w:ascii="宋体" w:hAnsi="宋体" w:eastAsia="宋体" w:cs="宋体"/>
          <w:color w:val="auto"/>
          <w:sz w:val="24"/>
          <w:szCs w:val="24"/>
          <w:highlight w:val="none"/>
          <w:u w:val="none"/>
          <w:lang w:val="en-US" w:eastAsia="zh-CN"/>
        </w:rPr>
        <w:t>成都市锦江区</w:t>
      </w:r>
    </w:p>
    <w:p>
      <w:pPr>
        <w:pStyle w:val="3"/>
        <w:pageBreakBefore w:val="0"/>
        <w:widowControl/>
        <w:kinsoku/>
        <w:wordWrap/>
        <w:overflowPunct/>
        <w:topLinePunct w:val="0"/>
        <w:autoSpaceDE/>
        <w:autoSpaceDN/>
        <w:bidi w:val="0"/>
        <w:adjustRightInd/>
        <w:snapToGrid/>
        <w:spacing w:line="360" w:lineRule="exact"/>
        <w:rPr>
          <w:rFonts w:hint="eastAsia" w:ascii="宋体" w:hAnsi="宋体" w:eastAsia="宋体" w:cs="宋体"/>
          <w:b/>
          <w:bCs/>
          <w:color w:val="auto"/>
          <w:sz w:val="24"/>
          <w:szCs w:val="24"/>
          <w:highlight w:val="none"/>
        </w:rPr>
      </w:pPr>
      <w:bookmarkStart w:id="84" w:name="_Toc24685"/>
      <w:bookmarkStart w:id="85" w:name="_Toc11096"/>
      <w:r>
        <w:rPr>
          <w:rFonts w:hint="eastAsia" w:ascii="宋体" w:hAnsi="宋体" w:eastAsia="宋体" w:cs="宋体"/>
          <w:b/>
          <w:bCs/>
          <w:color w:val="auto"/>
          <w:sz w:val="24"/>
          <w:szCs w:val="24"/>
          <w:highlight w:val="none"/>
        </w:rPr>
        <w:t>二、服务范围及工作内容</w:t>
      </w:r>
      <w:bookmarkEnd w:id="84"/>
      <w:bookmarkEnd w:id="85"/>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双方约定的服务范围及工作内容：</w:t>
      </w:r>
      <w:r>
        <w:rPr>
          <w:rFonts w:hint="eastAsia" w:ascii="宋体" w:hAnsi="宋体" w:eastAsia="宋体" w:cs="宋体"/>
          <w:b w:val="0"/>
          <w:bCs w:val="0"/>
          <w:color w:val="auto"/>
          <w:sz w:val="24"/>
          <w:szCs w:val="24"/>
          <w:highlight w:val="none"/>
          <w:u w:val="none"/>
          <w:lang w:val="en-US" w:eastAsia="zh-CN"/>
        </w:rPr>
        <w:t>最高投标限价编制及工程量清单编制服务。</w:t>
      </w:r>
      <w:r>
        <w:rPr>
          <w:rFonts w:hint="eastAsia" w:ascii="宋体" w:hAnsi="宋体" w:eastAsia="宋体" w:cs="宋体"/>
          <w:color w:val="auto"/>
          <w:sz w:val="24"/>
          <w:szCs w:val="24"/>
          <w:highlight w:val="none"/>
        </w:rPr>
        <w:t xml:space="preserve">      </w:t>
      </w:r>
    </w:p>
    <w:p>
      <w:pPr>
        <w:pStyle w:val="3"/>
        <w:pageBreakBefore w:val="0"/>
        <w:widowControl/>
        <w:kinsoku/>
        <w:wordWrap/>
        <w:overflowPunct/>
        <w:topLinePunct w:val="0"/>
        <w:autoSpaceDE/>
        <w:autoSpaceDN/>
        <w:bidi w:val="0"/>
        <w:adjustRightInd/>
        <w:snapToGrid/>
        <w:spacing w:line="360" w:lineRule="exact"/>
        <w:rPr>
          <w:rFonts w:hint="eastAsia" w:ascii="宋体" w:hAnsi="宋体" w:eastAsia="宋体" w:cs="宋体"/>
          <w:b/>
          <w:bCs/>
          <w:color w:val="auto"/>
          <w:sz w:val="24"/>
          <w:szCs w:val="24"/>
          <w:highlight w:val="none"/>
        </w:rPr>
      </w:pPr>
      <w:bookmarkStart w:id="86" w:name="_Toc19833"/>
      <w:bookmarkStart w:id="87" w:name="_Toc10154"/>
      <w:r>
        <w:rPr>
          <w:rFonts w:hint="eastAsia" w:ascii="宋体" w:hAnsi="宋体" w:eastAsia="宋体" w:cs="宋体"/>
          <w:b/>
          <w:bCs/>
          <w:color w:val="auto"/>
          <w:sz w:val="24"/>
          <w:szCs w:val="24"/>
          <w:highlight w:val="none"/>
        </w:rPr>
        <w:t>三、服务期限</w:t>
      </w:r>
      <w:bookmarkEnd w:id="86"/>
      <w:bookmarkEnd w:id="87"/>
    </w:p>
    <w:p>
      <w:pPr>
        <w:pageBreakBefore w:val="0"/>
        <w:widowControl/>
        <w:kinsoku/>
        <w:wordWrap/>
        <w:overflowPunct/>
        <w:topLinePunct w:val="0"/>
        <w:autoSpaceDE/>
        <w:autoSpaceDN/>
        <w:bidi w:val="0"/>
        <w:adjustRightInd/>
        <w:snapToGrid/>
        <w:spacing w:line="360" w:lineRule="exact"/>
        <w:ind w:firstLine="480"/>
        <w:jc w:val="both"/>
        <w:textAlignment w:val="top"/>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本合同约定的建设工程造价咨询服务</w:t>
      </w:r>
      <w:r>
        <w:rPr>
          <w:rFonts w:hint="eastAsia" w:ascii="宋体" w:hAnsi="宋体" w:eastAsia="宋体" w:cs="宋体"/>
          <w:color w:val="auto"/>
          <w:sz w:val="24"/>
          <w:szCs w:val="24"/>
          <w:highlight w:val="none"/>
          <w:lang w:val="en-US" w:eastAsia="zh-CN"/>
        </w:rPr>
        <w:t>期限：</w:t>
      </w:r>
      <w:r>
        <w:rPr>
          <w:rFonts w:hint="eastAsia" w:ascii="宋体" w:hAnsi="宋体" w:eastAsia="宋体" w:cs="宋体"/>
          <w:color w:val="auto"/>
          <w:sz w:val="24"/>
          <w:szCs w:val="24"/>
          <w:highlight w:val="none"/>
          <w:u w:val="single"/>
          <w:lang w:val="en-US" w:eastAsia="zh-CN"/>
        </w:rPr>
        <w:t xml:space="preserve"> </w:t>
      </w:r>
    </w:p>
    <w:p>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1.计划工期：要求成交供应商在合同签订后1</w:t>
      </w:r>
      <w:r>
        <w:rPr>
          <w:rFonts w:hint="eastAsia" w:ascii="宋体" w:hAnsi="宋体" w:cs="宋体"/>
          <w:color w:val="auto"/>
          <w:spacing w:val="-4"/>
          <w:sz w:val="24"/>
          <w:highlight w:val="none"/>
          <w:lang w:val="en-US" w:eastAsia="zh-CN"/>
        </w:rPr>
        <w:t>0</w:t>
      </w:r>
      <w:r>
        <w:rPr>
          <w:rFonts w:hint="eastAsia" w:ascii="宋体" w:hAnsi="宋体" w:cs="宋体"/>
          <w:color w:val="auto"/>
          <w:spacing w:val="-4"/>
          <w:sz w:val="24"/>
          <w:highlight w:val="none"/>
        </w:rPr>
        <w:t>天内完成新良大厦1-4号电梯更新改造项目工程造价咨询服务</w:t>
      </w:r>
      <w:r>
        <w:rPr>
          <w:rFonts w:hint="eastAsia" w:ascii="宋体" w:hAnsi="宋体" w:cs="宋体"/>
          <w:bCs/>
          <w:color w:val="auto"/>
          <w:sz w:val="24"/>
          <w:highlight w:val="none"/>
          <w:u w:val="single"/>
          <w:lang w:eastAsia="zh-CN"/>
        </w:rPr>
        <w:t>（</w:t>
      </w:r>
      <w:r>
        <w:rPr>
          <w:rFonts w:hint="eastAsia" w:ascii="宋体" w:hAnsi="宋体" w:cs="宋体"/>
          <w:bCs/>
          <w:color w:val="auto"/>
          <w:sz w:val="24"/>
          <w:highlight w:val="none"/>
          <w:u w:val="single"/>
          <w:lang w:val="en-US" w:eastAsia="zh-CN"/>
        </w:rPr>
        <w:t>最高投标限价编制及工程量清单编制服务</w:t>
      </w:r>
      <w:r>
        <w:rPr>
          <w:rFonts w:hint="eastAsia" w:ascii="宋体" w:hAnsi="宋体" w:cs="宋体"/>
          <w:bCs/>
          <w:color w:val="auto"/>
          <w:sz w:val="24"/>
          <w:highlight w:val="none"/>
          <w:u w:val="single"/>
          <w:lang w:eastAsia="zh-CN"/>
        </w:rPr>
        <w:t>）</w:t>
      </w:r>
      <w:r>
        <w:rPr>
          <w:rFonts w:hint="eastAsia" w:ascii="宋体" w:hAnsi="宋体" w:cs="宋体"/>
          <w:color w:val="auto"/>
          <w:spacing w:val="-4"/>
          <w:sz w:val="24"/>
          <w:highlight w:val="none"/>
        </w:rPr>
        <w:t>的全部要求，并将</w:t>
      </w:r>
      <w:r>
        <w:rPr>
          <w:rFonts w:hint="eastAsia" w:ascii="宋体" w:hAnsi="宋体" w:cs="宋体"/>
          <w:color w:val="auto"/>
          <w:spacing w:val="-4"/>
          <w:sz w:val="24"/>
          <w:highlight w:val="none"/>
          <w:lang w:eastAsia="zh-CN"/>
        </w:rPr>
        <w:t>最高投标限价</w:t>
      </w:r>
      <w:r>
        <w:rPr>
          <w:rFonts w:hint="eastAsia" w:ascii="宋体" w:hAnsi="宋体" w:cs="宋体"/>
          <w:color w:val="auto"/>
          <w:spacing w:val="-4"/>
          <w:sz w:val="24"/>
          <w:highlight w:val="none"/>
        </w:rPr>
        <w:t>、工程量清单等工程造价咨询服务成果资料书面提交给采购人。</w:t>
      </w:r>
    </w:p>
    <w:p>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2.服务期限：至新良大厦1-4号电梯更新改造项目</w:t>
      </w:r>
      <w:r>
        <w:rPr>
          <w:rFonts w:hint="eastAsia" w:ascii="宋体" w:hAnsi="宋体" w:cs="宋体"/>
          <w:color w:val="auto"/>
          <w:spacing w:val="-4"/>
          <w:sz w:val="24"/>
          <w:highlight w:val="none"/>
          <w:lang w:val="en-US" w:eastAsia="zh-CN"/>
        </w:rPr>
        <w:t>结算审核</w:t>
      </w:r>
      <w:r>
        <w:rPr>
          <w:rFonts w:hint="eastAsia" w:ascii="宋体" w:hAnsi="宋体" w:cs="宋体"/>
          <w:color w:val="auto"/>
          <w:spacing w:val="-4"/>
          <w:sz w:val="24"/>
          <w:highlight w:val="none"/>
        </w:rPr>
        <w:t>完成之日。</w:t>
      </w:r>
    </w:p>
    <w:p>
      <w:pPr>
        <w:pStyle w:val="3"/>
        <w:pageBreakBefore w:val="0"/>
        <w:widowControl/>
        <w:kinsoku/>
        <w:wordWrap/>
        <w:overflowPunct/>
        <w:topLinePunct w:val="0"/>
        <w:autoSpaceDE/>
        <w:autoSpaceDN/>
        <w:bidi w:val="0"/>
        <w:adjustRightInd/>
        <w:snapToGrid/>
        <w:spacing w:line="360" w:lineRule="exact"/>
        <w:rPr>
          <w:rFonts w:hint="eastAsia" w:ascii="宋体" w:hAnsi="宋体" w:eastAsia="宋体" w:cs="宋体"/>
          <w:b/>
          <w:bCs/>
          <w:color w:val="auto"/>
          <w:sz w:val="24"/>
          <w:szCs w:val="24"/>
          <w:highlight w:val="none"/>
        </w:rPr>
      </w:pPr>
      <w:bookmarkStart w:id="88" w:name="_Toc10439"/>
      <w:bookmarkStart w:id="89" w:name="_Toc21985"/>
      <w:r>
        <w:rPr>
          <w:rFonts w:hint="eastAsia" w:ascii="宋体" w:hAnsi="宋体" w:eastAsia="宋体" w:cs="宋体"/>
          <w:b/>
          <w:bCs/>
          <w:color w:val="auto"/>
          <w:sz w:val="24"/>
          <w:szCs w:val="24"/>
          <w:highlight w:val="none"/>
        </w:rPr>
        <w:t>四、质量标准</w:t>
      </w:r>
      <w:bookmarkEnd w:id="88"/>
      <w:bookmarkEnd w:id="89"/>
    </w:p>
    <w:p>
      <w:pPr>
        <w:pageBreakBefore w:val="0"/>
        <w:widowControl/>
        <w:kinsoku/>
        <w:wordWrap/>
        <w:overflowPunct/>
        <w:topLinePunct w:val="0"/>
        <w:autoSpaceDE/>
        <w:autoSpaceDN/>
        <w:bidi w:val="0"/>
        <w:adjustRightInd/>
        <w:snapToGrid/>
        <w:spacing w:line="360" w:lineRule="exact"/>
        <w:ind w:firstLine="480" w:firstLineChars="200"/>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工程造价咨询成果文件应符合：</w:t>
      </w:r>
      <w:r>
        <w:rPr>
          <w:rFonts w:hint="eastAsia" w:ascii="宋体" w:hAnsi="宋体" w:eastAsia="宋体" w:cs="宋体"/>
          <w:color w:val="auto"/>
          <w:sz w:val="24"/>
          <w:szCs w:val="24"/>
          <w:highlight w:val="none"/>
          <w:u w:val="single"/>
        </w:rPr>
        <w:t xml:space="preserve"> 现行《建设工程造价咨询成果文件质量标准》</w:t>
      </w:r>
      <w:r>
        <w:rPr>
          <w:rFonts w:hint="eastAsia" w:ascii="宋体" w:hAnsi="宋体" w:eastAsia="宋体" w:cs="宋体"/>
          <w:color w:val="auto"/>
          <w:sz w:val="24"/>
          <w:szCs w:val="24"/>
          <w:highlight w:val="none"/>
          <w:u w:val="single"/>
          <w:lang w:eastAsia="zh-CN"/>
        </w:rPr>
        <w:t>（ CECA/GC 7-2012）</w:t>
      </w:r>
      <w:r>
        <w:rPr>
          <w:rFonts w:hint="eastAsia" w:ascii="宋体" w:hAnsi="宋体" w:eastAsia="宋体" w:cs="宋体"/>
          <w:color w:val="auto"/>
          <w:sz w:val="24"/>
          <w:szCs w:val="24"/>
          <w:highlight w:val="none"/>
        </w:rPr>
        <w:t>。</w:t>
      </w:r>
    </w:p>
    <w:p>
      <w:pPr>
        <w:pStyle w:val="3"/>
        <w:pageBreakBefore w:val="0"/>
        <w:widowControl/>
        <w:kinsoku/>
        <w:wordWrap/>
        <w:overflowPunct/>
        <w:topLinePunct w:val="0"/>
        <w:autoSpaceDE/>
        <w:autoSpaceDN/>
        <w:bidi w:val="0"/>
        <w:adjustRightInd/>
        <w:snapToGrid/>
        <w:spacing w:line="360" w:lineRule="exact"/>
        <w:rPr>
          <w:rFonts w:hint="eastAsia" w:ascii="宋体" w:hAnsi="宋体" w:eastAsia="宋体" w:cs="宋体"/>
          <w:b/>
          <w:bCs/>
          <w:color w:val="auto"/>
          <w:sz w:val="24"/>
          <w:szCs w:val="24"/>
          <w:highlight w:val="none"/>
        </w:rPr>
      </w:pPr>
      <w:bookmarkStart w:id="90" w:name="_Toc24569"/>
      <w:bookmarkStart w:id="91" w:name="_Toc24613"/>
      <w:r>
        <w:rPr>
          <w:rFonts w:hint="eastAsia" w:ascii="宋体" w:hAnsi="宋体" w:eastAsia="宋体" w:cs="宋体"/>
          <w:b/>
          <w:bCs/>
          <w:color w:val="auto"/>
          <w:sz w:val="24"/>
          <w:szCs w:val="24"/>
          <w:highlight w:val="none"/>
        </w:rPr>
        <w:t>五、酬金或计取方式</w:t>
      </w:r>
      <w:bookmarkEnd w:id="90"/>
      <w:bookmarkEnd w:id="91"/>
    </w:p>
    <w:p>
      <w:pPr>
        <w:pageBreakBefore w:val="0"/>
        <w:widowControl/>
        <w:kinsoku/>
        <w:wordWrap/>
        <w:overflowPunct/>
        <w:topLinePunct w:val="0"/>
        <w:autoSpaceDE/>
        <w:autoSpaceDN/>
        <w:bidi w:val="0"/>
        <w:adjustRightInd/>
        <w:snapToGrid/>
        <w:spacing w:line="360" w:lineRule="exact"/>
        <w:ind w:firstLine="480"/>
        <w:jc w:val="both"/>
        <w:textAlignment w:val="top"/>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1.酬金</w:t>
      </w:r>
      <w:r>
        <w:rPr>
          <w:rFonts w:hint="eastAsia" w:ascii="宋体" w:hAnsi="宋体" w:eastAsia="宋体" w:cs="宋体"/>
          <w:color w:val="auto"/>
          <w:sz w:val="24"/>
          <w:szCs w:val="24"/>
          <w:highlight w:val="none"/>
          <w:u w:val="none"/>
          <w:lang w:val="en-US" w:eastAsia="zh-CN"/>
        </w:rPr>
        <w:t>及</w:t>
      </w:r>
      <w:r>
        <w:rPr>
          <w:rFonts w:hint="eastAsia" w:ascii="宋体" w:hAnsi="宋体" w:eastAsia="宋体" w:cs="宋体"/>
          <w:color w:val="auto"/>
          <w:sz w:val="24"/>
          <w:szCs w:val="24"/>
          <w:highlight w:val="none"/>
          <w:u w:val="none"/>
        </w:rPr>
        <w:t>计取方式：</w:t>
      </w:r>
      <w:r>
        <w:rPr>
          <w:rFonts w:hint="eastAsia" w:ascii="宋体" w:hAnsi="宋体" w:eastAsia="宋体" w:cs="宋体"/>
          <w:b w:val="0"/>
          <w:bCs w:val="0"/>
          <w:color w:val="auto"/>
          <w:spacing w:val="-4"/>
          <w:kern w:val="2"/>
          <w:sz w:val="24"/>
          <w:szCs w:val="24"/>
          <w:highlight w:val="none"/>
          <w:u w:val="none"/>
          <w:lang w:val="en-US" w:eastAsia="zh-CN" w:bidi="ar-SA"/>
        </w:rPr>
        <w:t>经双方友好协商，该项目包干价为</w:t>
      </w:r>
      <w:r>
        <w:rPr>
          <w:rFonts w:hint="eastAsia" w:ascii="宋体" w:hAnsi="宋体" w:eastAsia="宋体" w:cs="宋体"/>
          <w:b w:val="0"/>
          <w:bCs w:val="0"/>
          <w:color w:val="auto"/>
          <w:spacing w:val="-4"/>
          <w:kern w:val="2"/>
          <w:sz w:val="24"/>
          <w:szCs w:val="24"/>
          <w:highlight w:val="none"/>
          <w:u w:val="single"/>
          <w:lang w:val="en-US" w:eastAsia="zh-CN" w:bidi="ar-SA"/>
        </w:rPr>
        <w:t xml:space="preserve">     </w:t>
      </w:r>
      <w:r>
        <w:rPr>
          <w:rFonts w:hint="eastAsia" w:ascii="宋体" w:hAnsi="宋体" w:eastAsia="宋体" w:cs="宋体"/>
          <w:b w:val="0"/>
          <w:bCs w:val="0"/>
          <w:color w:val="auto"/>
          <w:spacing w:val="-4"/>
          <w:kern w:val="2"/>
          <w:sz w:val="24"/>
          <w:szCs w:val="24"/>
          <w:highlight w:val="none"/>
          <w:u w:val="none"/>
          <w:lang w:val="en-US" w:eastAsia="zh-CN" w:bidi="ar-SA"/>
        </w:rPr>
        <w:t>元（大写）</w:t>
      </w:r>
      <w:r>
        <w:rPr>
          <w:rFonts w:hint="eastAsia" w:ascii="宋体" w:hAnsi="宋体" w:eastAsia="宋体" w:cs="宋体"/>
          <w:b w:val="0"/>
          <w:bCs w:val="0"/>
          <w:color w:val="auto"/>
          <w:spacing w:val="-4"/>
          <w:kern w:val="2"/>
          <w:sz w:val="24"/>
          <w:szCs w:val="24"/>
          <w:highlight w:val="none"/>
          <w:u w:val="single"/>
          <w:lang w:val="en-US" w:eastAsia="zh-CN" w:bidi="ar-SA"/>
        </w:rPr>
        <w:t xml:space="preserve">   </w:t>
      </w:r>
      <w:r>
        <w:rPr>
          <w:rFonts w:hint="eastAsia" w:ascii="宋体" w:hAnsi="宋体" w:eastAsia="宋体" w:cs="宋体"/>
          <w:b/>
          <w:bCs w:val="0"/>
          <w:color w:val="auto"/>
          <w:kern w:val="0"/>
          <w:sz w:val="24"/>
          <w:szCs w:val="24"/>
          <w:highlight w:val="none"/>
          <w:u w:val="single"/>
          <w:lang w:val="en-US" w:eastAsia="zh-CN" w:bidi="ar-SA"/>
        </w:rPr>
        <w:t xml:space="preserve">  ；</w:t>
      </w:r>
      <w:r>
        <w:rPr>
          <w:rFonts w:hint="eastAsia" w:ascii="宋体" w:hAnsi="宋体" w:cs="宋体"/>
          <w:color w:val="auto"/>
          <w:spacing w:val="-4"/>
          <w:sz w:val="24"/>
          <w:highlight w:val="none"/>
          <w:lang w:val="en-US" w:eastAsia="zh-CN"/>
        </w:rPr>
        <w:t>咨询人</w:t>
      </w:r>
      <w:r>
        <w:rPr>
          <w:rFonts w:hint="eastAsia" w:ascii="宋体" w:hAnsi="宋体" w:cs="宋体"/>
          <w:color w:val="auto"/>
          <w:spacing w:val="-4"/>
          <w:sz w:val="24"/>
          <w:highlight w:val="none"/>
        </w:rPr>
        <w:t>将</w:t>
      </w:r>
      <w:r>
        <w:rPr>
          <w:rFonts w:hint="eastAsia" w:ascii="宋体" w:hAnsi="宋体" w:cs="宋体"/>
          <w:color w:val="auto"/>
          <w:spacing w:val="-4"/>
          <w:sz w:val="24"/>
          <w:highlight w:val="none"/>
          <w:lang w:eastAsia="zh-CN"/>
        </w:rPr>
        <w:t>最高投标限价</w:t>
      </w:r>
      <w:r>
        <w:rPr>
          <w:rFonts w:hint="eastAsia" w:ascii="宋体" w:hAnsi="宋体" w:cs="宋体"/>
          <w:color w:val="auto"/>
          <w:spacing w:val="-4"/>
          <w:sz w:val="24"/>
          <w:highlight w:val="none"/>
        </w:rPr>
        <w:t>、工程量清单等工程造价咨询服务成果资料书面提交给</w:t>
      </w:r>
      <w:r>
        <w:rPr>
          <w:rFonts w:hint="eastAsia" w:ascii="宋体" w:hAnsi="宋体" w:cs="宋体"/>
          <w:color w:val="auto"/>
          <w:spacing w:val="-4"/>
          <w:sz w:val="24"/>
          <w:highlight w:val="none"/>
          <w:lang w:val="en-US" w:eastAsia="zh-CN"/>
        </w:rPr>
        <w:t>委托人10个工作日内</w:t>
      </w:r>
      <w:r>
        <w:rPr>
          <w:rFonts w:hint="eastAsia" w:ascii="宋体" w:hAnsi="宋体" w:cs="宋体"/>
          <w:color w:val="auto"/>
          <w:spacing w:val="-4"/>
          <w:sz w:val="24"/>
          <w:highlight w:val="none"/>
        </w:rPr>
        <w:t>，</w:t>
      </w:r>
      <w:r>
        <w:rPr>
          <w:rFonts w:hint="eastAsia" w:ascii="宋体" w:hAnsi="宋体" w:cs="宋体"/>
          <w:color w:val="auto"/>
          <w:spacing w:val="-4"/>
          <w:sz w:val="24"/>
          <w:highlight w:val="none"/>
          <w:lang w:val="en-US" w:eastAsia="zh-CN"/>
        </w:rPr>
        <w:t>委托人</w:t>
      </w:r>
      <w:r>
        <w:rPr>
          <w:rFonts w:hint="eastAsia" w:ascii="宋体" w:hAnsi="宋体" w:cs="宋体"/>
          <w:color w:val="auto"/>
          <w:spacing w:val="-4"/>
          <w:sz w:val="24"/>
          <w:highlight w:val="none"/>
        </w:rPr>
        <w:t>支付</w:t>
      </w:r>
      <w:r>
        <w:rPr>
          <w:rFonts w:hint="eastAsia" w:ascii="宋体" w:hAnsi="宋体" w:cs="宋体"/>
          <w:color w:val="auto"/>
          <w:spacing w:val="-4"/>
          <w:sz w:val="24"/>
          <w:highlight w:val="none"/>
          <w:lang w:val="en-US" w:eastAsia="zh-CN"/>
        </w:rPr>
        <w:t>至合同金额的80%；新良大厦1-4号电梯更新改造项目结算审核完成后10个工作日内，委托人支付至合同金额的100%</w:t>
      </w:r>
      <w:r>
        <w:rPr>
          <w:rFonts w:hint="eastAsia" w:ascii="宋体" w:hAnsi="宋体" w:cs="宋体"/>
          <w:color w:val="auto"/>
          <w:spacing w:val="-4"/>
          <w:sz w:val="24"/>
          <w:highlight w:val="none"/>
        </w:rPr>
        <w:t>。</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w:t>
      </w:r>
      <w:bookmarkStart w:id="92" w:name="_Toc18255"/>
      <w:bookmarkStart w:id="93" w:name="_Toc3519"/>
      <w:r>
        <w:rPr>
          <w:rStyle w:val="36"/>
          <w:rFonts w:hint="eastAsia" w:ascii="宋体" w:hAnsi="宋体" w:eastAsia="宋体" w:cs="宋体"/>
          <w:b/>
          <w:bCs/>
          <w:color w:val="auto"/>
          <w:sz w:val="24"/>
          <w:szCs w:val="24"/>
          <w:highlight w:val="none"/>
        </w:rPr>
        <w:t>六、合同文件的构成</w:t>
      </w:r>
      <w:bookmarkEnd w:id="92"/>
      <w:bookmarkEnd w:id="93"/>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本协议书与下列文件一起构成合同文件</w:t>
      </w:r>
      <w:r>
        <w:rPr>
          <w:rFonts w:hint="eastAsia" w:ascii="宋体" w:hAnsi="宋体" w:eastAsia="宋体" w:cs="宋体"/>
          <w:color w:val="auto"/>
          <w:sz w:val="24"/>
          <w:szCs w:val="24"/>
          <w:highlight w:val="none"/>
          <w:lang w:eastAsia="zh-CN"/>
        </w:rPr>
        <w:t>：</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1.中标通知书或委托书；</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2.投标函及投标函附录或造价咨询服务建议书；</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3.专用条件及附录；</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4.通用条件；</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5.其他合同文件。</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上述各项合同文件包括合同当事人就该项合同文件所</w:t>
      </w:r>
      <w:r>
        <w:rPr>
          <w:rFonts w:hint="eastAsia" w:ascii="宋体" w:hAnsi="宋体" w:eastAsia="宋体" w:cs="宋体"/>
          <w:color w:val="auto"/>
          <w:sz w:val="24"/>
          <w:szCs w:val="24"/>
          <w:highlight w:val="none"/>
          <w:lang w:eastAsia="zh-CN"/>
        </w:rPr>
        <w:t>做出</w:t>
      </w:r>
      <w:r>
        <w:rPr>
          <w:rFonts w:hint="eastAsia" w:ascii="宋体" w:hAnsi="宋体" w:eastAsia="宋体" w:cs="宋体"/>
          <w:color w:val="auto"/>
          <w:sz w:val="24"/>
          <w:szCs w:val="24"/>
          <w:highlight w:val="none"/>
        </w:rPr>
        <w:t>的补充和修改，</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属于同一类内容的文件，应以最新签署的为准。</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在合同订立及履行过程中形成的与合同有关的文件（包括补充协议）均构</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成合同文件的组成部分。</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94" w:name="_Toc15946"/>
      <w:bookmarkStart w:id="95" w:name="_Toc29156"/>
      <w:r>
        <w:rPr>
          <w:rStyle w:val="36"/>
          <w:rFonts w:hint="eastAsia" w:ascii="宋体" w:hAnsi="宋体" w:eastAsia="宋体" w:cs="宋体"/>
          <w:b/>
          <w:bCs/>
          <w:color w:val="auto"/>
          <w:sz w:val="24"/>
          <w:szCs w:val="24"/>
          <w:highlight w:val="none"/>
        </w:rPr>
        <w:t>七、词语定义</w:t>
      </w:r>
      <w:bookmarkEnd w:id="94"/>
      <w:bookmarkEnd w:id="95"/>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协议书中相关词语的含义与通用条件中的定义与解释相同。</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96" w:name="_Toc9030"/>
      <w:bookmarkStart w:id="97" w:name="_Toc15382"/>
      <w:r>
        <w:rPr>
          <w:rStyle w:val="36"/>
          <w:rFonts w:hint="eastAsia" w:ascii="宋体" w:hAnsi="宋体" w:eastAsia="宋体" w:cs="宋体"/>
          <w:b/>
          <w:bCs/>
          <w:color w:val="auto"/>
          <w:sz w:val="24"/>
          <w:szCs w:val="24"/>
          <w:highlight w:val="none"/>
        </w:rPr>
        <w:t>八、合同订立</w:t>
      </w:r>
      <w:bookmarkEnd w:id="96"/>
      <w:bookmarkEnd w:id="97"/>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订立时间：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98" w:name="_Toc284"/>
      <w:bookmarkStart w:id="99" w:name="_Toc25576"/>
      <w:r>
        <w:rPr>
          <w:rStyle w:val="36"/>
          <w:rFonts w:hint="eastAsia" w:ascii="宋体" w:hAnsi="宋体" w:eastAsia="宋体" w:cs="宋体"/>
          <w:b/>
          <w:bCs/>
          <w:color w:val="auto"/>
          <w:sz w:val="24"/>
          <w:szCs w:val="24"/>
          <w:highlight w:val="none"/>
        </w:rPr>
        <w:t>九、合同生效</w:t>
      </w:r>
      <w:bookmarkEnd w:id="98"/>
      <w:bookmarkEnd w:id="99"/>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本合同自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委托人和咨询人双方签字盖章后生效。</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十、合同份数</w:t>
      </w:r>
    </w:p>
    <w:p>
      <w:pPr>
        <w:pageBreakBefore w:val="0"/>
        <w:widowControl/>
        <w:kinsoku/>
        <w:wordWrap/>
        <w:overflowPunct/>
        <w:topLinePunct w:val="0"/>
        <w:autoSpaceDE/>
        <w:autoSpaceDN/>
        <w:bidi w:val="0"/>
        <w:adjustRightInd/>
        <w:snapToGrid/>
        <w:spacing w:line="360" w:lineRule="exact"/>
        <w:ind w:left="240" w:hanging="240" w:hangingChars="100"/>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本合同一式</w:t>
      </w:r>
      <w:r>
        <w:rPr>
          <w:rFonts w:hint="eastAsia" w:ascii="宋体" w:hAnsi="宋体" w:eastAsia="宋体" w:cs="宋体"/>
          <w:color w:val="auto"/>
          <w:sz w:val="24"/>
          <w:szCs w:val="24"/>
          <w:highlight w:val="none"/>
          <w:u w:val="single"/>
          <w:lang w:val="en-US" w:eastAsia="zh-CN"/>
        </w:rPr>
        <w:t xml:space="preserve">  伍  </w:t>
      </w:r>
      <w:r>
        <w:rPr>
          <w:rFonts w:hint="eastAsia" w:ascii="宋体" w:hAnsi="宋体" w:eastAsia="宋体" w:cs="宋体"/>
          <w:color w:val="auto"/>
          <w:sz w:val="24"/>
          <w:szCs w:val="24"/>
          <w:highlight w:val="none"/>
        </w:rPr>
        <w:t>份，具有同等法律效力，其中委托人执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叁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份，咨询人执</w:t>
      </w:r>
      <w:r>
        <w:rPr>
          <w:rFonts w:hint="eastAsia" w:ascii="宋体" w:hAnsi="宋体" w:eastAsia="宋体" w:cs="宋体"/>
          <w:color w:val="auto"/>
          <w:sz w:val="24"/>
          <w:szCs w:val="24"/>
          <w:highlight w:val="none"/>
          <w:u w:val="single"/>
          <w:lang w:val="en-US" w:eastAsia="zh-CN"/>
        </w:rPr>
        <w:t xml:space="preserve"> 贰 </w:t>
      </w:r>
      <w:r>
        <w:rPr>
          <w:rFonts w:hint="eastAsia" w:ascii="宋体" w:hAnsi="宋体" w:eastAsia="宋体" w:cs="宋体"/>
          <w:color w:val="auto"/>
          <w:sz w:val="24"/>
          <w:szCs w:val="24"/>
          <w:highlight w:val="none"/>
        </w:rPr>
        <w:t>份。</w:t>
      </w:r>
    </w:p>
    <w:p>
      <w:pPr>
        <w:pageBreakBefore w:val="0"/>
        <w:widowControl/>
        <w:kinsoku/>
        <w:wordWrap/>
        <w:overflowPunct/>
        <w:topLinePunct w:val="0"/>
        <w:autoSpaceDE/>
        <w:autoSpaceDN/>
        <w:bidi w:val="0"/>
        <w:adjustRightInd/>
        <w:snapToGrid/>
        <w:spacing w:line="360" w:lineRule="exact"/>
        <w:ind w:left="0" w:firstLine="482" w:firstLineChars="200"/>
        <w:jc w:val="both"/>
        <w:textAlignment w:val="top"/>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十一、本合同附件：</w:t>
      </w:r>
      <w:r>
        <w:rPr>
          <w:rFonts w:hint="eastAsia" w:ascii="宋体" w:hAnsi="宋体" w:cs="宋体"/>
          <w:b w:val="0"/>
          <w:bCs w:val="0"/>
          <w:color w:val="auto"/>
          <w:sz w:val="24"/>
          <w:szCs w:val="24"/>
          <w:highlight w:val="none"/>
          <w:lang w:val="en-US" w:eastAsia="zh-CN"/>
        </w:rPr>
        <w:t>《廉洁承诺书》</w:t>
      </w:r>
      <w:r>
        <w:rPr>
          <w:rFonts w:hint="eastAsia" w:ascii="宋体" w:hAnsi="宋体" w:cs="宋体"/>
          <w:b w:val="0"/>
          <w:bCs w:val="0"/>
          <w:color w:val="auto"/>
          <w:sz w:val="24"/>
          <w:szCs w:val="24"/>
          <w:highlight w:val="none"/>
          <w:lang w:val="en-US" w:eastAsia="zh-CN"/>
        </w:rPr>
        <w:t>。</w:t>
      </w:r>
    </w:p>
    <w:p>
      <w:pPr>
        <w:pageBreakBefore w:val="0"/>
        <w:widowControl/>
        <w:kinsoku/>
        <w:wordWrap/>
        <w:overflowPunct/>
        <w:topLinePunct w:val="0"/>
        <w:autoSpaceDE/>
        <w:autoSpaceDN/>
        <w:bidi w:val="0"/>
        <w:adjustRightInd/>
        <w:snapToGrid/>
        <w:spacing w:line="360" w:lineRule="exact"/>
        <w:ind w:left="240" w:hanging="240" w:hangingChars="100"/>
        <w:jc w:val="both"/>
        <w:textAlignment w:val="top"/>
        <w:rPr>
          <w:rFonts w:hint="eastAsia" w:ascii="宋体" w:hAnsi="宋体" w:eastAsia="宋体" w:cs="宋体"/>
          <w:color w:val="auto"/>
          <w:sz w:val="24"/>
          <w:szCs w:val="24"/>
          <w:highlight w:val="none"/>
        </w:rPr>
      </w:pPr>
    </w:p>
    <w:p>
      <w:pPr>
        <w:pageBreakBefore w:val="0"/>
        <w:widowControl/>
        <w:kinsoku/>
        <w:wordWrap/>
        <w:overflowPunct/>
        <w:topLinePunct w:val="0"/>
        <w:autoSpaceDE/>
        <w:autoSpaceDN/>
        <w:bidi w:val="0"/>
        <w:adjustRightInd/>
        <w:snapToGrid/>
        <w:spacing w:line="360" w:lineRule="exact"/>
        <w:ind w:left="240" w:hanging="240" w:hangingChars="100"/>
        <w:jc w:val="both"/>
        <w:textAlignment w:val="top"/>
        <w:rPr>
          <w:rFonts w:hint="eastAsia" w:ascii="宋体" w:hAnsi="宋体" w:eastAsia="宋体" w:cs="宋体"/>
          <w:color w:val="auto"/>
          <w:sz w:val="24"/>
          <w:szCs w:val="24"/>
          <w:highlight w:val="none"/>
        </w:rPr>
      </w:pPr>
    </w:p>
    <w:p>
      <w:pPr>
        <w:pageBreakBefore w:val="0"/>
        <w:widowControl/>
        <w:kinsoku/>
        <w:wordWrap/>
        <w:overflowPunct/>
        <w:topLinePunct w:val="0"/>
        <w:autoSpaceDE/>
        <w:autoSpaceDN/>
        <w:bidi w:val="0"/>
        <w:adjustRightInd/>
        <w:snapToGrid/>
        <w:spacing w:line="360" w:lineRule="exact"/>
        <w:ind w:left="240" w:hanging="240" w:hangingChars="100"/>
        <w:jc w:val="both"/>
        <w:textAlignment w:val="top"/>
        <w:rPr>
          <w:rFonts w:hint="eastAsia" w:ascii="宋体" w:hAnsi="宋体" w:eastAsia="宋体" w:cs="宋体"/>
          <w:color w:val="auto"/>
          <w:sz w:val="24"/>
          <w:szCs w:val="24"/>
          <w:highlight w:val="none"/>
        </w:rPr>
      </w:pP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 托 人：___________（盖章）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咨 询 人：</w:t>
      </w:r>
      <w:r>
        <w:rPr>
          <w:rFonts w:hint="eastAsia" w:ascii="宋体" w:hAnsi="宋体" w:eastAsia="宋体" w:cs="宋体"/>
          <w:color w:val="auto"/>
          <w:sz w:val="24"/>
          <w:szCs w:val="24"/>
          <w:highlight w:val="none"/>
          <w:u w:val="none"/>
        </w:rPr>
        <w:t>___________</w:t>
      </w:r>
      <w:r>
        <w:rPr>
          <w:rFonts w:hint="eastAsia" w:ascii="宋体" w:hAnsi="宋体" w:eastAsia="宋体" w:cs="宋体"/>
          <w:color w:val="auto"/>
          <w:sz w:val="24"/>
          <w:szCs w:val="24"/>
          <w:highlight w:val="none"/>
        </w:rPr>
        <w:t>（盖章）</w:t>
      </w:r>
    </w:p>
    <w:p>
      <w:pPr>
        <w:pageBreakBefore w:val="0"/>
        <w:widowControl/>
        <w:kinsoku/>
        <w:wordWrap/>
        <w:overflowPunct/>
        <w:topLinePunct w:val="0"/>
        <w:autoSpaceDE/>
        <w:autoSpaceDN/>
        <w:bidi w:val="0"/>
        <w:adjustRightInd/>
        <w:snapToGrid/>
        <w:spacing w:line="360" w:lineRule="exact"/>
        <w:ind w:firstLine="480"/>
        <w:jc w:val="both"/>
        <w:textAlignment w:val="top"/>
        <w:rPr>
          <w:rFonts w:hint="eastAsia" w:ascii="宋体" w:hAnsi="宋体" w:eastAsia="宋体" w:cs="宋体"/>
          <w:color w:val="auto"/>
          <w:sz w:val="24"/>
          <w:szCs w:val="24"/>
          <w:highlight w:val="none"/>
        </w:rPr>
      </w:pPr>
    </w:p>
    <w:p>
      <w:pPr>
        <w:pageBreakBefore w:val="0"/>
        <w:widowControl/>
        <w:kinsoku/>
        <w:wordWrap/>
        <w:overflowPunct/>
        <w:topLinePunct w:val="0"/>
        <w:autoSpaceDE/>
        <w:autoSpaceDN/>
        <w:bidi w:val="0"/>
        <w:adjustRightInd/>
        <w:snapToGrid/>
        <w:spacing w:line="360" w:lineRule="exact"/>
        <w:ind w:firstLine="480"/>
        <w:jc w:val="both"/>
        <w:textAlignment w:val="top"/>
        <w:rPr>
          <w:rFonts w:hint="eastAsia" w:ascii="宋体" w:hAnsi="宋体" w:eastAsia="宋体" w:cs="宋体"/>
          <w:color w:val="auto"/>
          <w:sz w:val="24"/>
          <w:szCs w:val="24"/>
          <w:highlight w:val="none"/>
        </w:rPr>
      </w:pP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法定代表人或其授权的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法定代表人或其授权的</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代 理 人 ： _________（签 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代 理 人 ：_________（签 字 ）</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w:t>
      </w:r>
      <w:r>
        <w:rPr>
          <w:rFonts w:hint="eastAsia" w:ascii="宋体" w:hAnsi="宋体" w:eastAsia="宋体" w:cs="宋体"/>
          <w:color w:val="auto"/>
          <w:sz w:val="24"/>
          <w:szCs w:val="24"/>
          <w:highlight w:val="none"/>
        </w:rPr>
        <w:t xml:space="preserve">代码：                  </w:t>
      </w:r>
      <w:r>
        <w:rPr>
          <w:rFonts w:hint="eastAsia" w:ascii="宋体" w:hAnsi="宋体" w:eastAsia="宋体" w:cs="宋体"/>
          <w:color w:val="auto"/>
          <w:sz w:val="24"/>
          <w:szCs w:val="24"/>
          <w:highlight w:val="none"/>
          <w:lang w:val="en-US" w:eastAsia="zh-CN"/>
        </w:rPr>
        <w:t>统一社会信用代码</w:t>
      </w:r>
      <w:r>
        <w:rPr>
          <w:rFonts w:hint="eastAsia" w:ascii="宋体" w:hAnsi="宋体" w:eastAsia="宋体" w:cs="宋体"/>
          <w:color w:val="auto"/>
          <w:sz w:val="24"/>
          <w:szCs w:val="24"/>
          <w:highlight w:val="none"/>
        </w:rPr>
        <w:t>：</w:t>
      </w:r>
    </w:p>
    <w:p>
      <w:pPr>
        <w:pageBreakBefore w:val="0"/>
        <w:widowControl/>
        <w:kinsoku/>
        <w:wordWrap/>
        <w:overflowPunct/>
        <w:topLinePunct w:val="0"/>
        <w:autoSpaceDE/>
        <w:autoSpaceDN/>
        <w:bidi w:val="0"/>
        <w:adjustRightInd/>
        <w:snapToGrid/>
        <w:spacing w:line="360" w:lineRule="exact"/>
        <w:ind w:left="5040" w:hanging="5040" w:hangingChars="2100"/>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住所：</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账 号：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账号：</w:t>
      </w:r>
    </w:p>
    <w:p>
      <w:pPr>
        <w:pageBreakBefore w:val="0"/>
        <w:widowControl/>
        <w:kinsoku/>
        <w:wordWrap/>
        <w:overflowPunct/>
        <w:topLinePunct w:val="0"/>
        <w:autoSpaceDE/>
        <w:autoSpaceDN/>
        <w:bidi w:val="0"/>
        <w:adjustRightInd/>
        <w:snapToGrid/>
        <w:spacing w:line="360" w:lineRule="exact"/>
        <w:ind w:left="5760" w:hanging="5760" w:hangingChars="2400"/>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开户银行：</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邮政编码：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邮政编码：</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电 话：</w:t>
      </w:r>
    </w:p>
    <w:p>
      <w:pPr>
        <w:pageBreakBefore w:val="0"/>
        <w:widowControl/>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bookmarkStart w:id="100" w:name="_Toc6384"/>
      <w:bookmarkStart w:id="101" w:name="_Toc746"/>
    </w:p>
    <w:p>
      <w:pPr>
        <w:pageBreakBefore w:val="0"/>
        <w:widowControl/>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p>
    <w:p>
      <w:pPr>
        <w:pageBreakBefore w:val="0"/>
        <w:widowControl/>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p>
    <w:p>
      <w:pPr>
        <w:pageBreakBefore w:val="0"/>
        <w:widowControl/>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p>
    <w:p>
      <w:pPr>
        <w:pageBreakBefore w:val="0"/>
        <w:widowControl/>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p>
    <w:p>
      <w:pPr>
        <w:pageBreakBefore w:val="0"/>
        <w:widowControl/>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p>
    <w:p>
      <w:pPr>
        <w:pageBreakBefore w:val="0"/>
        <w:widowControl/>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p>
    <w:p>
      <w:pPr>
        <w:pStyle w:val="2"/>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bookmarkStart w:id="102" w:name="_Toc11984"/>
      <w:r>
        <w:rPr>
          <w:rFonts w:hint="eastAsia" w:ascii="宋体" w:hAnsi="宋体" w:eastAsia="宋体" w:cs="宋体"/>
          <w:color w:val="auto"/>
          <w:sz w:val="24"/>
          <w:szCs w:val="24"/>
          <w:highlight w:val="none"/>
        </w:rPr>
        <w:t>第二部分 通用条件</w:t>
      </w:r>
      <w:bookmarkEnd w:id="100"/>
      <w:bookmarkEnd w:id="101"/>
      <w:bookmarkEnd w:id="102"/>
    </w:p>
    <w:p>
      <w:pPr>
        <w:pStyle w:val="3"/>
        <w:pageBreakBefore w:val="0"/>
        <w:widowControl/>
        <w:numPr>
          <w:ilvl w:val="0"/>
          <w:numId w:val="1"/>
        </w:numPr>
        <w:kinsoku/>
        <w:wordWrap/>
        <w:overflowPunct/>
        <w:topLinePunct w:val="0"/>
        <w:autoSpaceDE/>
        <w:autoSpaceDN/>
        <w:bidi w:val="0"/>
        <w:adjustRightInd/>
        <w:snapToGrid/>
        <w:spacing w:line="360" w:lineRule="exact"/>
        <w:ind w:left="420" w:leftChars="200"/>
        <w:rPr>
          <w:rFonts w:hint="eastAsia" w:ascii="宋体" w:hAnsi="宋体" w:eastAsia="宋体" w:cs="宋体"/>
          <w:b/>
          <w:bCs/>
          <w:color w:val="auto"/>
          <w:sz w:val="24"/>
          <w:szCs w:val="24"/>
          <w:highlight w:val="none"/>
        </w:rPr>
      </w:pPr>
      <w:bookmarkStart w:id="103" w:name="_Toc6099"/>
      <w:bookmarkStart w:id="104" w:name="_Toc1021"/>
      <w:r>
        <w:rPr>
          <w:rFonts w:hint="eastAsia" w:ascii="宋体" w:hAnsi="宋体" w:eastAsia="宋体" w:cs="宋体"/>
          <w:b/>
          <w:bCs/>
          <w:color w:val="auto"/>
          <w:sz w:val="24"/>
          <w:szCs w:val="24"/>
          <w:highlight w:val="none"/>
        </w:rPr>
        <w:t>词语定义、语言、解释顺序与适用法律</w:t>
      </w:r>
      <w:bookmarkEnd w:id="103"/>
      <w:bookmarkEnd w:id="104"/>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105" w:name="_Toc6044"/>
      <w:bookmarkStart w:id="106" w:name="_Toc9035"/>
      <w:r>
        <w:rPr>
          <w:rFonts w:hint="eastAsia" w:ascii="宋体" w:hAnsi="宋体" w:eastAsia="宋体" w:cs="宋体"/>
          <w:color w:val="auto"/>
          <w:sz w:val="24"/>
          <w:szCs w:val="24"/>
          <w:highlight w:val="none"/>
        </w:rPr>
        <w:t>1.1 词语定义</w:t>
      </w:r>
      <w:bookmarkEnd w:id="105"/>
      <w:bookmarkEnd w:id="106"/>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组成本合同的全部文件中的下列名词和用语应具有本款所赋予的含义：</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1.1.1“工程”是指按照本合同约定实施造价咨询与其他服务的建设工程。</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1.1.2“工程造价”是指工程项目建设过程中预计或实际支出的全部费用。</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1.1.3“委托人”是指本合同中委托造价咨询与其他服务的一方，及其合法</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的继承人或受让人。</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1.1.4“咨询人”是指本合同中提供造价咨询与其他服务的一方 ，及其合法的继承人。</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1.1.5“第三人”是指除委托人、咨询人以外与本咨询业务有关的当事人。</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1.1.6“正常工作”是指本合同订立时通用条件和专用条件中约定的咨询人</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的工作。</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1.1.7“附加工作”是指咨询人根据合同条件完成的正常工作以外的工作。</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1.1.8“项目咨询团队”是指咨询人指派负责履行本合同的团队，其团队成</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员为本合同的项目咨询人员。</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1.1.9“项目负责人”是指由咨询人的法定代表人书面授权，在授权范围内</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负责履行本合同、主持项目咨询团队工作的负责人。</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1.1.10“委托人代表”是指由委托人的法定代表人书面授权，在授权范围</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内行使委托人权利的人。</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1.1.11“酬金”是指咨询人履行本合同义务，委托人按照本合同约定给付</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咨询人的金额。</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1.1.12“正常工作酬金”是指在协议书中载明的，咨询人完成正常工作，</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委托人应给付咨询人的酬金。</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1.1.13“附加工作酬金”是指咨询人完成附加工作，委托人应给付咨询人</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的酬金。</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1.1.14 “书面形式”是指合同书、信件和数据电文（包括电报、电传、传</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真、电子数据交换和电子邮件）等可以有形地表现所载内容的形式。</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1.1.15 “不可抗力”是指委托人和咨询人在订立本合同时不可预见，在合</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同履行过程中不可避免并不能克服的自然灾害和社会性突发事件，如地震、海</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啸、瘟疫、水灾、骚乱、暴动、战争等情形。</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107" w:name="_Toc5820"/>
      <w:bookmarkStart w:id="108" w:name="_Toc17627"/>
      <w:r>
        <w:rPr>
          <w:rFonts w:hint="eastAsia" w:ascii="宋体" w:hAnsi="宋体" w:eastAsia="宋体" w:cs="宋体"/>
          <w:color w:val="auto"/>
          <w:sz w:val="24"/>
          <w:szCs w:val="24"/>
          <w:highlight w:val="none"/>
        </w:rPr>
        <w:t>1.2 语言</w:t>
      </w:r>
      <w:bookmarkEnd w:id="107"/>
      <w:bookmarkEnd w:id="108"/>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本合同使用中文书写、解释和说明。如专用条件约定使用两种及以上语言</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文字时，应以中文为准。</w:t>
      </w:r>
    </w:p>
    <w:p>
      <w:pPr>
        <w:pStyle w:val="4"/>
        <w:pageBreakBefore w:val="0"/>
        <w:widowControl/>
        <w:kinsoku/>
        <w:wordWrap/>
        <w:overflowPunct/>
        <w:topLinePunct w:val="0"/>
        <w:autoSpaceDE/>
        <w:autoSpaceDN/>
        <w:bidi w:val="0"/>
        <w:adjustRightInd/>
        <w:snapToGrid/>
        <w:spacing w:line="360" w:lineRule="exact"/>
        <w:ind w:left="420" w:leftChars="200"/>
        <w:rPr>
          <w:rStyle w:val="43"/>
          <w:rFonts w:hint="eastAsia" w:ascii="宋体" w:hAnsi="宋体" w:eastAsia="宋体" w:cs="宋体"/>
          <w:b w:val="0"/>
          <w:bCs w:val="0"/>
          <w:color w:val="auto"/>
          <w:sz w:val="24"/>
          <w:szCs w:val="24"/>
          <w:highlight w:val="none"/>
        </w:rPr>
      </w:pPr>
      <w:bookmarkStart w:id="109" w:name="_Toc23950"/>
      <w:bookmarkStart w:id="110" w:name="_Toc4474"/>
      <w:r>
        <w:rPr>
          <w:rFonts w:hint="eastAsia" w:ascii="宋体" w:hAnsi="宋体" w:eastAsia="宋体" w:cs="宋体"/>
          <w:color w:val="auto"/>
          <w:sz w:val="24"/>
          <w:szCs w:val="24"/>
          <w:highlight w:val="none"/>
        </w:rPr>
        <w:t>1.3 合同文件的优先顺序</w:t>
      </w:r>
      <w:bookmarkEnd w:id="109"/>
      <w:bookmarkEnd w:id="110"/>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组成本合同的下列文件彼此应能相互解释、互为说明。除专用条件另有约</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定外，本合同文件的解释顺序如下：</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1.协议书</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2.中标通知书或委托书；</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3.专用条件及附录；</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4.通用条件；</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5.投标函及投标函附录或造价咨询服务建议书；</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6.其他合同文件。</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上述各项合同文件包括合同当事人就该项合同文件所</w:t>
      </w:r>
      <w:r>
        <w:rPr>
          <w:rFonts w:hint="eastAsia" w:ascii="宋体" w:hAnsi="宋体" w:eastAsia="宋体" w:cs="宋体"/>
          <w:color w:val="auto"/>
          <w:sz w:val="24"/>
          <w:szCs w:val="24"/>
          <w:highlight w:val="none"/>
          <w:lang w:eastAsia="zh-CN"/>
        </w:rPr>
        <w:t>做出</w:t>
      </w:r>
      <w:r>
        <w:rPr>
          <w:rFonts w:hint="eastAsia" w:ascii="宋体" w:hAnsi="宋体" w:eastAsia="宋体" w:cs="宋体"/>
          <w:color w:val="auto"/>
          <w:sz w:val="24"/>
          <w:szCs w:val="24"/>
          <w:highlight w:val="none"/>
        </w:rPr>
        <w:t>的补充和修改，</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属于同一类内容的文件，应以最新签署的为准。</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在合同订立及履行过程中形成的与合同有关的文件均构成合同文件的组成</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111" w:name="_Toc15769"/>
      <w:bookmarkStart w:id="112" w:name="_Toc18549"/>
      <w:r>
        <w:rPr>
          <w:rFonts w:hint="eastAsia" w:ascii="宋体" w:hAnsi="宋体" w:eastAsia="宋体" w:cs="宋体"/>
          <w:color w:val="auto"/>
          <w:sz w:val="24"/>
          <w:szCs w:val="24"/>
          <w:highlight w:val="none"/>
        </w:rPr>
        <w:t>1.4 适用法律</w:t>
      </w:r>
      <w:bookmarkEnd w:id="111"/>
      <w:bookmarkEnd w:id="112"/>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本合同适用中华人民共和国法律、行政法规、部门规章以及工程所在地的</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地方性法规、自治条例、单行条例和地方政府规章等。</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合同当事人可以在专用条件中约定本合同适用的其他规范、规程、定额、</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技术标准等规范性文件。</w:t>
      </w:r>
    </w:p>
    <w:p>
      <w:pPr>
        <w:pStyle w:val="3"/>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b/>
          <w:bCs/>
          <w:color w:val="auto"/>
          <w:sz w:val="24"/>
          <w:szCs w:val="24"/>
          <w:highlight w:val="none"/>
        </w:rPr>
      </w:pPr>
      <w:bookmarkStart w:id="113" w:name="_Toc30758"/>
      <w:bookmarkStart w:id="114" w:name="_Toc16177"/>
      <w:r>
        <w:rPr>
          <w:rFonts w:hint="eastAsia" w:ascii="宋体" w:hAnsi="宋体" w:eastAsia="宋体" w:cs="宋体"/>
          <w:b/>
          <w:bCs/>
          <w:color w:val="auto"/>
          <w:sz w:val="24"/>
          <w:szCs w:val="24"/>
          <w:highlight w:val="none"/>
        </w:rPr>
        <w:t>2. 委托人的义务</w:t>
      </w:r>
      <w:bookmarkEnd w:id="113"/>
      <w:bookmarkEnd w:id="114"/>
    </w:p>
    <w:p>
      <w:pPr>
        <w:pStyle w:val="4"/>
        <w:pageBreakBefore w:val="0"/>
        <w:widowControl/>
        <w:kinsoku/>
        <w:wordWrap/>
        <w:overflowPunct/>
        <w:topLinePunct w:val="0"/>
        <w:autoSpaceDE/>
        <w:autoSpaceDN/>
        <w:bidi w:val="0"/>
        <w:adjustRightInd/>
        <w:snapToGrid/>
        <w:spacing w:line="360" w:lineRule="exact"/>
        <w:ind w:left="0" w:leftChars="0" w:firstLine="482" w:firstLineChars="200"/>
        <w:rPr>
          <w:rFonts w:hint="eastAsia" w:ascii="宋体" w:hAnsi="宋体" w:eastAsia="宋体" w:cs="宋体"/>
          <w:color w:val="auto"/>
          <w:sz w:val="24"/>
          <w:szCs w:val="24"/>
          <w:highlight w:val="none"/>
        </w:rPr>
      </w:pPr>
      <w:bookmarkStart w:id="115" w:name="_Toc29033"/>
      <w:bookmarkStart w:id="116" w:name="_Toc4065"/>
      <w:r>
        <w:rPr>
          <w:rFonts w:hint="eastAsia" w:ascii="宋体" w:hAnsi="宋体" w:eastAsia="宋体" w:cs="宋体"/>
          <w:color w:val="auto"/>
          <w:sz w:val="24"/>
          <w:szCs w:val="24"/>
          <w:highlight w:val="none"/>
        </w:rPr>
        <w:t>2.1 提供资料</w:t>
      </w:r>
      <w:bookmarkEnd w:id="115"/>
      <w:bookmarkEnd w:id="116"/>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委托人应当在专用条件约定的时间内，按照约定无偿向咨询人提供与本合同咨询业务有关的资料。在本合同履行过程中，委托人应及时向咨询人提供最新的与本合同咨询业务有关的资料。委托人应对所提供资料的真实性、准确性、合法性与完整性负责。</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117" w:name="_Toc6954"/>
      <w:bookmarkStart w:id="118" w:name="_Toc11320"/>
      <w:r>
        <w:rPr>
          <w:rFonts w:hint="eastAsia" w:ascii="宋体" w:hAnsi="宋体" w:eastAsia="宋体" w:cs="宋体"/>
          <w:color w:val="auto"/>
          <w:sz w:val="24"/>
          <w:szCs w:val="24"/>
          <w:highlight w:val="none"/>
        </w:rPr>
        <w:t>2.2 提供工作条件</w:t>
      </w:r>
      <w:bookmarkEnd w:id="117"/>
      <w:bookmarkEnd w:id="118"/>
    </w:p>
    <w:p>
      <w:pPr>
        <w:pageBreakBefore w:val="0"/>
        <w:widowControl/>
        <w:kinsoku/>
        <w:wordWrap/>
        <w:overflowPunct/>
        <w:topLinePunct w:val="0"/>
        <w:autoSpaceDE/>
        <w:autoSpaceDN/>
        <w:bidi w:val="0"/>
        <w:adjustRightInd/>
        <w:snapToGrid/>
        <w:spacing w:line="360" w:lineRule="exact"/>
        <w:ind w:firstLine="480" w:firstLineChars="200"/>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委托人应为咨询人完成造价咨询提供必要的条件。</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2.2.1 委托人需要咨询人派驻项目现场咨询人员的，除专用条件另有约定</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外，项目咨询人员有权无偿使用由委托人提供的房屋及设备。</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委托人应负责与本工程造价咨询业务有关的所有外部关系的协调，</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为咨询人履行本合同提供必要的外部条件。</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119" w:name="_Toc16267"/>
      <w:bookmarkStart w:id="120" w:name="_Toc4508"/>
      <w:r>
        <w:rPr>
          <w:rFonts w:hint="eastAsia" w:ascii="宋体" w:hAnsi="宋体" w:eastAsia="宋体" w:cs="宋体"/>
          <w:color w:val="auto"/>
          <w:sz w:val="24"/>
          <w:szCs w:val="24"/>
          <w:highlight w:val="none"/>
        </w:rPr>
        <w:t>2.3 合理工作时限</w:t>
      </w:r>
      <w:bookmarkEnd w:id="119"/>
      <w:bookmarkEnd w:id="120"/>
    </w:p>
    <w:p>
      <w:pPr>
        <w:pageBreakBefore w:val="0"/>
        <w:widowControl/>
        <w:kinsoku/>
        <w:wordWrap/>
        <w:overflowPunct/>
        <w:topLinePunct w:val="0"/>
        <w:autoSpaceDE/>
        <w:autoSpaceDN/>
        <w:bidi w:val="0"/>
        <w:adjustRightInd/>
        <w:snapToGrid/>
        <w:spacing w:line="360" w:lineRule="exact"/>
        <w:ind w:firstLine="480" w:firstLineChars="200"/>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委托人应当为咨询人完成其咨询工作，设定合理的工作时限。</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121" w:name="_Toc29779"/>
      <w:bookmarkStart w:id="122" w:name="_Toc21436"/>
      <w:r>
        <w:rPr>
          <w:rFonts w:hint="eastAsia" w:ascii="宋体" w:hAnsi="宋体" w:eastAsia="宋体" w:cs="宋体"/>
          <w:color w:val="auto"/>
          <w:sz w:val="24"/>
          <w:szCs w:val="24"/>
          <w:highlight w:val="none"/>
        </w:rPr>
        <w:t>2.4 委托人代表</w:t>
      </w:r>
      <w:bookmarkEnd w:id="121"/>
      <w:bookmarkEnd w:id="122"/>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委托人应授权一名代表负责本合同的履行。委托人应在双方签订本合同 7</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日内，将委托人代表的姓名和权限范围书面告知咨询人。委托人更换委托人代</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表时，应提前 7 日书面通知咨询人。</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123" w:name="_Toc22138"/>
      <w:bookmarkStart w:id="124" w:name="_Toc22305"/>
      <w:r>
        <w:rPr>
          <w:rFonts w:hint="eastAsia" w:ascii="宋体" w:hAnsi="宋体" w:eastAsia="宋体" w:cs="宋体"/>
          <w:color w:val="auto"/>
          <w:sz w:val="24"/>
          <w:szCs w:val="24"/>
          <w:highlight w:val="none"/>
        </w:rPr>
        <w:t>2.5 答复</w:t>
      </w:r>
      <w:bookmarkEnd w:id="123"/>
      <w:bookmarkEnd w:id="124"/>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委托人应当在专用条件约定的时间内就咨询人以书面形式提交并要求做出</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答复的事宜给予书面答复。逾期未答复的，由此造成的工作延误和损失由委托</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人承担。</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125" w:name="_Toc19895"/>
      <w:bookmarkStart w:id="126" w:name="_Toc15314"/>
      <w:r>
        <w:rPr>
          <w:rFonts w:hint="eastAsia" w:ascii="宋体" w:hAnsi="宋体" w:eastAsia="宋体" w:cs="宋体"/>
          <w:color w:val="auto"/>
          <w:sz w:val="24"/>
          <w:szCs w:val="24"/>
          <w:highlight w:val="none"/>
        </w:rPr>
        <w:t>2.6 支付</w:t>
      </w:r>
      <w:bookmarkEnd w:id="125"/>
      <w:bookmarkEnd w:id="126"/>
    </w:p>
    <w:p>
      <w:pPr>
        <w:pageBreakBefore w:val="0"/>
        <w:widowControl/>
        <w:kinsoku/>
        <w:wordWrap/>
        <w:overflowPunct/>
        <w:topLinePunct w:val="0"/>
        <w:autoSpaceDE/>
        <w:autoSpaceDN/>
        <w:bidi w:val="0"/>
        <w:adjustRightInd/>
        <w:snapToGrid/>
        <w:spacing w:line="360" w:lineRule="exact"/>
        <w:ind w:firstLine="480" w:firstLineChars="200"/>
        <w:jc w:val="both"/>
        <w:textAlignment w:val="top"/>
        <w:rPr>
          <w:rStyle w:val="43"/>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委托人应当按照合同的约定，向咨询人支付酬金。</w:t>
      </w:r>
    </w:p>
    <w:p>
      <w:pPr>
        <w:pStyle w:val="3"/>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b/>
          <w:bCs/>
          <w:color w:val="auto"/>
          <w:sz w:val="24"/>
          <w:szCs w:val="24"/>
          <w:highlight w:val="none"/>
        </w:rPr>
      </w:pPr>
      <w:bookmarkStart w:id="127" w:name="_Toc10317"/>
      <w:bookmarkStart w:id="128" w:name="_Toc26002"/>
      <w:r>
        <w:rPr>
          <w:rFonts w:hint="eastAsia" w:ascii="宋体" w:hAnsi="宋体" w:eastAsia="宋体" w:cs="宋体"/>
          <w:b/>
          <w:bCs/>
          <w:color w:val="auto"/>
          <w:sz w:val="24"/>
          <w:szCs w:val="24"/>
          <w:highlight w:val="none"/>
        </w:rPr>
        <w:t>3. 咨询人的义务</w:t>
      </w:r>
      <w:bookmarkEnd w:id="127"/>
      <w:bookmarkEnd w:id="128"/>
    </w:p>
    <w:p>
      <w:pPr>
        <w:pStyle w:val="3"/>
        <w:pageBreakBefore w:val="0"/>
        <w:widowControl/>
        <w:kinsoku/>
        <w:wordWrap/>
        <w:overflowPunct/>
        <w:topLinePunct w:val="0"/>
        <w:autoSpaceDE/>
        <w:autoSpaceDN/>
        <w:bidi w:val="0"/>
        <w:adjustRightInd/>
        <w:snapToGrid/>
        <w:spacing w:line="360" w:lineRule="exact"/>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129" w:name="_Toc3461"/>
      <w:bookmarkStart w:id="130" w:name="_Toc29022"/>
      <w:r>
        <w:rPr>
          <w:rStyle w:val="43"/>
          <w:rFonts w:hint="eastAsia" w:ascii="宋体" w:hAnsi="宋体" w:eastAsia="宋体" w:cs="宋体"/>
          <w:b w:val="0"/>
          <w:bCs w:val="0"/>
          <w:color w:val="auto"/>
          <w:sz w:val="24"/>
          <w:szCs w:val="24"/>
          <w:highlight w:val="none"/>
        </w:rPr>
        <w:t>3.1 项目咨询团队及人员</w:t>
      </w:r>
      <w:bookmarkEnd w:id="129"/>
      <w:bookmarkEnd w:id="130"/>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3.1.1 项目咨询团队的主要人员应具有专用条件约定的资格条件，团队人</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员的数量应符合专用条件的约定。</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3.1.2 项目负责人</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咨询人应以书面形式授权一名项目负责人负责履行本合同、主持项目咨询</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团队工作。采用招标程序签署本合同的，项目负责人应当与投标文件载明的一</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3.1.3 在本合同履行过程中，咨询人员应保持相对稳定，以保证咨询工作</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正常进行。</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咨询人可根据工程进展和工作需要等情形调整项目咨询团队人员。咨询人</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更换项目负责人时，应提前 7 日向委托人书面报告，经委托人同意后方可更</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换。除专用条件另有约定外，咨询人更换项目咨询团队其他咨询人员，应提前</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日向委托人书面报告，经委托人同意后以相当资格与能力的人员替换。</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3.1.4 咨询人员有下列情形之一，委托人要求咨询人更换的，咨询人应当</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更换：</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（1）存在严重过失行为的；</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（2）存在违法行为不能履行职责的；</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（3）涉嫌犯罪的；</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（4）不能胜任岗位职责的；</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（5）严重违反职业道德的；</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（6）专用条件约定的其他情形。</w:t>
      </w:r>
    </w:p>
    <w:p>
      <w:pPr>
        <w:pStyle w:val="4"/>
        <w:pageBreakBefore w:val="0"/>
        <w:widowControl/>
        <w:kinsoku/>
        <w:wordWrap/>
        <w:overflowPunct/>
        <w:topLinePunct w:val="0"/>
        <w:autoSpaceDE/>
        <w:autoSpaceDN/>
        <w:bidi w:val="0"/>
        <w:adjustRightInd/>
        <w:snapToGrid/>
        <w:spacing w:line="360" w:lineRule="exact"/>
        <w:ind w:left="420" w:leftChars="200"/>
        <w:rPr>
          <w:rStyle w:val="43"/>
          <w:rFonts w:hint="eastAsia" w:ascii="宋体" w:hAnsi="宋体" w:eastAsia="宋体" w:cs="宋体"/>
          <w:b w:val="0"/>
          <w:bCs w:val="0"/>
          <w:color w:val="auto"/>
          <w:sz w:val="24"/>
          <w:szCs w:val="24"/>
          <w:highlight w:val="none"/>
        </w:rPr>
      </w:pPr>
      <w:bookmarkStart w:id="131" w:name="_Toc16722"/>
      <w:bookmarkStart w:id="132" w:name="_Toc7506"/>
      <w:r>
        <w:rPr>
          <w:rFonts w:hint="eastAsia" w:ascii="宋体" w:hAnsi="宋体" w:eastAsia="宋体" w:cs="宋体"/>
          <w:color w:val="auto"/>
          <w:sz w:val="24"/>
          <w:szCs w:val="24"/>
          <w:highlight w:val="none"/>
        </w:rPr>
        <w:t>3.2 咨询人的工作要求</w:t>
      </w:r>
      <w:bookmarkEnd w:id="131"/>
      <w:bookmarkEnd w:id="132"/>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3.2.1 咨询人应当按照专用条件约定的时间等要求向委托人提供与工程造</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价咨询业务有关的资料，包括工程造价咨询企业的资质证书及承担本合同业务</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的团队人员名单及执业（从业）资格证书、咨询工作大纲等，并按合同约定的</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服务范围和工作内容实施咨询业务。</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3.2.2 咨询人应当在专用条件约定的时间内，按照专用条件约定的份数、</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组成向委托人提交咨询成果文件。</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咨询人提供造价咨询服务以及出具工程造价咨询成果文件应符合现行国家</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或行业有关规定、标准、规范的要求。委托人要求的工程造价咨询成果文件质</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量标准高于现行国家或行业标准的，应在专用条件中约定具体的质量标准，并</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相应增加服务酬金。</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3.2.3 咨询人提交的工程造价咨询成果文件，除加盖咨询人单位公章、工</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程造价咨询企业执业印章外，还必须按要求加盖参加咨询工作人员的执业（从</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业）资格印章。</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3.2.4 咨询人应在专用条件约定的时间内，对委托人以书面形式提出的建</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议或者异议给予书面答复。</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3.2.5 咨询人从事工程造价咨询活动，应当遵循独立、客观、公正、诚</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实信用的原则，不得损害社会公共利益和他人的合法权益。</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3.2.6 咨询人承诺按照法律规定及合同约定，完成合同范围内的建设工程</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造价咨询服务，不转包承接的造价咨询服务业务。</w:t>
      </w:r>
    </w:p>
    <w:p>
      <w:pPr>
        <w:pStyle w:val="4"/>
        <w:pageBreakBefore w:val="0"/>
        <w:widowControl/>
        <w:kinsoku/>
        <w:wordWrap/>
        <w:overflowPunct/>
        <w:topLinePunct w:val="0"/>
        <w:autoSpaceDE/>
        <w:autoSpaceDN/>
        <w:bidi w:val="0"/>
        <w:adjustRightInd/>
        <w:snapToGrid/>
        <w:spacing w:line="360" w:lineRule="exact"/>
        <w:ind w:left="420" w:leftChars="200"/>
        <w:rPr>
          <w:rStyle w:val="43"/>
          <w:rFonts w:hint="eastAsia" w:ascii="宋体" w:hAnsi="宋体" w:eastAsia="宋体" w:cs="宋体"/>
          <w:b w:val="0"/>
          <w:bCs w:val="0"/>
          <w:color w:val="auto"/>
          <w:sz w:val="24"/>
          <w:szCs w:val="24"/>
          <w:highlight w:val="none"/>
        </w:rPr>
      </w:pPr>
      <w:bookmarkStart w:id="133" w:name="_Toc12607"/>
      <w:bookmarkStart w:id="134" w:name="_Toc28441"/>
      <w:r>
        <w:rPr>
          <w:rFonts w:hint="eastAsia" w:ascii="宋体" w:hAnsi="宋体" w:eastAsia="宋体" w:cs="宋体"/>
          <w:color w:val="auto"/>
          <w:sz w:val="24"/>
          <w:szCs w:val="24"/>
          <w:highlight w:val="none"/>
        </w:rPr>
        <w:t>3.3 咨询人的工作依据</w:t>
      </w:r>
      <w:bookmarkEnd w:id="133"/>
      <w:bookmarkEnd w:id="134"/>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咨询人应在专用条件内与委托人协商明确履行本合同约定的咨询服务需要</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适用的技术标准、规范、定额等工作依据，但不得违反国家及工程所在地的强</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制性标准、规范。</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咨询人应自行配备本条所述的技术标准、规范、定额等相关资料。必须由</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委托人提供的资料。需要委托人协助才能获得的资料，委托人应予以协助。</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135" w:name="_Toc26226"/>
      <w:bookmarkStart w:id="136" w:name="_Toc26064"/>
      <w:r>
        <w:rPr>
          <w:rFonts w:hint="eastAsia" w:ascii="宋体" w:hAnsi="宋体" w:eastAsia="宋体" w:cs="宋体"/>
          <w:color w:val="auto"/>
          <w:sz w:val="24"/>
          <w:szCs w:val="24"/>
          <w:highlight w:val="none"/>
        </w:rPr>
        <w:t>3.4 使用委托人房屋及设备的返还</w:t>
      </w:r>
      <w:bookmarkEnd w:id="135"/>
      <w:bookmarkEnd w:id="136"/>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项目咨询人员使用委托人提供的房屋及设备的，咨询人应妥善使用和保管，在本合同终止时将上述房屋及设备按专用条件约定的时间和方式返还委托人。</w:t>
      </w:r>
    </w:p>
    <w:p>
      <w:pPr>
        <w:pStyle w:val="3"/>
        <w:pageBreakBefore w:val="0"/>
        <w:widowControl/>
        <w:numPr>
          <w:ilvl w:val="0"/>
          <w:numId w:val="2"/>
        </w:numPr>
        <w:kinsoku/>
        <w:wordWrap/>
        <w:overflowPunct/>
        <w:topLinePunct w:val="0"/>
        <w:autoSpaceDE/>
        <w:autoSpaceDN/>
        <w:bidi w:val="0"/>
        <w:adjustRightInd/>
        <w:snapToGrid/>
        <w:spacing w:line="360" w:lineRule="exact"/>
        <w:ind w:left="420" w:leftChars="200"/>
        <w:rPr>
          <w:rFonts w:hint="eastAsia" w:ascii="宋体" w:hAnsi="宋体" w:eastAsia="宋体" w:cs="宋体"/>
          <w:b/>
          <w:bCs/>
          <w:color w:val="auto"/>
          <w:sz w:val="24"/>
          <w:szCs w:val="24"/>
          <w:highlight w:val="none"/>
        </w:rPr>
      </w:pPr>
      <w:bookmarkStart w:id="137" w:name="_Toc794"/>
      <w:bookmarkStart w:id="138" w:name="_Toc14006"/>
      <w:r>
        <w:rPr>
          <w:rFonts w:hint="eastAsia" w:ascii="宋体" w:hAnsi="宋体" w:eastAsia="宋体" w:cs="宋体"/>
          <w:b/>
          <w:bCs/>
          <w:color w:val="auto"/>
          <w:sz w:val="24"/>
          <w:szCs w:val="24"/>
          <w:highlight w:val="none"/>
        </w:rPr>
        <w:t>违约责任</w:t>
      </w:r>
      <w:bookmarkEnd w:id="137"/>
      <w:bookmarkEnd w:id="138"/>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139" w:name="_Toc17740"/>
      <w:bookmarkStart w:id="140" w:name="_Toc2763"/>
      <w:r>
        <w:rPr>
          <w:rFonts w:hint="eastAsia" w:ascii="宋体" w:hAnsi="宋体" w:eastAsia="宋体" w:cs="宋体"/>
          <w:color w:val="auto"/>
          <w:sz w:val="24"/>
          <w:szCs w:val="24"/>
          <w:highlight w:val="none"/>
        </w:rPr>
        <w:t>4.1 委托人的违约责任</w:t>
      </w:r>
      <w:bookmarkEnd w:id="139"/>
      <w:bookmarkEnd w:id="140"/>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4.1.1 委托人不履行本合同义务或者履行义务不符合本合同约定的，应承</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担违约责任。双方可在专用条件中约定违约金的计算及支付方法。</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4.1.2 委托人违反本合同约定造成咨询人损失的，委托人应予以赔偿。双</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方可在专用条件中约定赔偿金额的确定及支付方法。</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4.1.3 委托人未能按期支付酬金超过 14 天，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141" w:name="_Toc29795"/>
      <w:bookmarkStart w:id="142" w:name="_Toc25450"/>
      <w:r>
        <w:rPr>
          <w:rFonts w:hint="eastAsia" w:ascii="宋体" w:hAnsi="宋体" w:eastAsia="宋体" w:cs="宋体"/>
          <w:color w:val="auto"/>
          <w:sz w:val="24"/>
          <w:szCs w:val="24"/>
          <w:highlight w:val="none"/>
        </w:rPr>
        <w:t>4.2 咨询人的违约责任</w:t>
      </w:r>
      <w:bookmarkEnd w:id="141"/>
      <w:bookmarkEnd w:id="142"/>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4.2.1 咨询人不履行本合同义务或者履行义务不符合本合同约定的，应承</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担违约责任。双方可在专用条件中约定违约金的计算及支付方法。</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4.2.2 因咨询人违反本合同约定给委托人造成损失的，咨询人应当赔偿委</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托人损失。双方可在专用条件中约定赔偿金额的确定及支付方法。</w:t>
      </w:r>
    </w:p>
    <w:p>
      <w:pPr>
        <w:pStyle w:val="3"/>
        <w:pageBreakBefore w:val="0"/>
        <w:widowControl/>
        <w:numPr>
          <w:ilvl w:val="0"/>
          <w:numId w:val="2"/>
        </w:numPr>
        <w:kinsoku/>
        <w:wordWrap/>
        <w:overflowPunct/>
        <w:topLinePunct w:val="0"/>
        <w:autoSpaceDE/>
        <w:autoSpaceDN/>
        <w:bidi w:val="0"/>
        <w:adjustRightInd/>
        <w:snapToGrid/>
        <w:spacing w:line="360" w:lineRule="exact"/>
        <w:ind w:left="420" w:leftChars="200"/>
        <w:rPr>
          <w:rFonts w:hint="eastAsia" w:ascii="宋体" w:hAnsi="宋体" w:eastAsia="宋体" w:cs="宋体"/>
          <w:b/>
          <w:bCs/>
          <w:color w:val="auto"/>
          <w:sz w:val="24"/>
          <w:szCs w:val="24"/>
          <w:highlight w:val="none"/>
        </w:rPr>
      </w:pPr>
      <w:bookmarkStart w:id="143" w:name="_Toc31367"/>
      <w:bookmarkStart w:id="144" w:name="_Toc12393"/>
      <w:r>
        <w:rPr>
          <w:rFonts w:hint="eastAsia" w:ascii="宋体" w:hAnsi="宋体" w:eastAsia="宋体" w:cs="宋体"/>
          <w:b/>
          <w:bCs/>
          <w:color w:val="auto"/>
          <w:sz w:val="24"/>
          <w:szCs w:val="24"/>
          <w:highlight w:val="none"/>
        </w:rPr>
        <w:t>支付</w:t>
      </w:r>
      <w:bookmarkEnd w:id="143"/>
      <w:bookmarkEnd w:id="144"/>
    </w:p>
    <w:p>
      <w:pPr>
        <w:pStyle w:val="4"/>
        <w:pageBreakBefore w:val="0"/>
        <w:widowControl/>
        <w:kinsoku/>
        <w:wordWrap/>
        <w:overflowPunct/>
        <w:topLinePunct w:val="0"/>
        <w:autoSpaceDE/>
        <w:autoSpaceDN/>
        <w:bidi w:val="0"/>
        <w:adjustRightInd/>
        <w:snapToGrid/>
        <w:spacing w:line="360" w:lineRule="exact"/>
        <w:ind w:left="420" w:leftChars="200"/>
        <w:rPr>
          <w:rStyle w:val="43"/>
          <w:rFonts w:hint="eastAsia" w:ascii="宋体" w:hAnsi="宋体" w:eastAsia="宋体" w:cs="宋体"/>
          <w:b w:val="0"/>
          <w:bCs w:val="0"/>
          <w:color w:val="auto"/>
          <w:sz w:val="24"/>
          <w:szCs w:val="24"/>
          <w:highlight w:val="none"/>
        </w:rPr>
      </w:pPr>
      <w:bookmarkStart w:id="145" w:name="_Toc532"/>
      <w:bookmarkStart w:id="146" w:name="_Toc4867"/>
      <w:r>
        <w:rPr>
          <w:rFonts w:hint="eastAsia" w:ascii="宋体" w:hAnsi="宋体" w:eastAsia="宋体" w:cs="宋体"/>
          <w:color w:val="auto"/>
          <w:sz w:val="24"/>
          <w:szCs w:val="24"/>
          <w:highlight w:val="none"/>
        </w:rPr>
        <w:t>5.1 支付货币</w:t>
      </w:r>
      <w:bookmarkEnd w:id="145"/>
      <w:bookmarkEnd w:id="146"/>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除专用条件另有约定外，酬金均以人民币支付。涉及外币支付的，所采用</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的货币种类和汇率等在专用条件中约定。</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147" w:name="_Toc25569"/>
      <w:bookmarkStart w:id="148" w:name="_Toc24816"/>
      <w:r>
        <w:rPr>
          <w:rFonts w:hint="eastAsia" w:ascii="宋体" w:hAnsi="宋体" w:eastAsia="宋体" w:cs="宋体"/>
          <w:color w:val="auto"/>
          <w:sz w:val="24"/>
          <w:szCs w:val="24"/>
          <w:highlight w:val="none"/>
        </w:rPr>
        <w:t>5.2 支付申请</w:t>
      </w:r>
      <w:bookmarkEnd w:id="147"/>
      <w:bookmarkEnd w:id="148"/>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咨询人应在本合同约定的每次应付款日期前，向委托人提交支付申请书，</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支付申请书的提交日期由双方在专用条件中约定。支付申请书应当说明当期应</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付款总额，并列出当期应支付的款项及其金额。</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149" w:name="_Toc22917"/>
      <w:bookmarkStart w:id="150" w:name="_Toc18162"/>
      <w:r>
        <w:rPr>
          <w:rFonts w:hint="eastAsia" w:ascii="宋体" w:hAnsi="宋体" w:eastAsia="宋体" w:cs="宋体"/>
          <w:color w:val="auto"/>
          <w:sz w:val="24"/>
          <w:szCs w:val="24"/>
          <w:highlight w:val="none"/>
        </w:rPr>
        <w:t>5.3 支付酬金</w:t>
      </w:r>
      <w:bookmarkEnd w:id="149"/>
      <w:bookmarkEnd w:id="150"/>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支付酬金包括正常工作酬金、附加工作酬金、合理化建议奖励金额及费</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w:t>
      </w:r>
    </w:p>
    <w:p>
      <w:pPr>
        <w:pStyle w:val="4"/>
        <w:pageBreakBefore w:val="0"/>
        <w:widowControl/>
        <w:kinsoku/>
        <w:wordWrap/>
        <w:overflowPunct/>
        <w:topLinePunct w:val="0"/>
        <w:autoSpaceDE/>
        <w:autoSpaceDN/>
        <w:bidi w:val="0"/>
        <w:adjustRightInd/>
        <w:snapToGrid/>
        <w:spacing w:line="360" w:lineRule="exact"/>
        <w:ind w:left="420" w:leftChars="200"/>
        <w:rPr>
          <w:rStyle w:val="43"/>
          <w:rFonts w:hint="eastAsia" w:ascii="宋体" w:hAnsi="宋体" w:eastAsia="宋体" w:cs="宋体"/>
          <w:b w:val="0"/>
          <w:bCs w:val="0"/>
          <w:color w:val="auto"/>
          <w:sz w:val="24"/>
          <w:szCs w:val="24"/>
          <w:highlight w:val="none"/>
        </w:rPr>
      </w:pPr>
      <w:bookmarkStart w:id="151" w:name="_Toc3895"/>
      <w:bookmarkStart w:id="152" w:name="_Toc7597"/>
      <w:r>
        <w:rPr>
          <w:rFonts w:hint="eastAsia" w:ascii="宋体" w:hAnsi="宋体" w:eastAsia="宋体" w:cs="宋体"/>
          <w:color w:val="auto"/>
          <w:sz w:val="24"/>
          <w:szCs w:val="24"/>
          <w:highlight w:val="none"/>
        </w:rPr>
        <w:t>5.4 有异议部分的支付</w:t>
      </w:r>
      <w:bookmarkEnd w:id="151"/>
      <w:bookmarkEnd w:id="152"/>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委托人对咨询人提交的支付申请书有异议时，应当在收到咨询人提交的支</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付申请书后 7 日内，以书面形式向咨询人发出异议通知。无异议部分的款项应</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按期支付，有异议部分的款项按第 7 条约定办理。</w:t>
      </w:r>
    </w:p>
    <w:p>
      <w:pPr>
        <w:pStyle w:val="3"/>
        <w:pageBreakBefore w:val="0"/>
        <w:widowControl/>
        <w:numPr>
          <w:ilvl w:val="0"/>
          <w:numId w:val="2"/>
        </w:numPr>
        <w:kinsoku/>
        <w:wordWrap/>
        <w:overflowPunct/>
        <w:topLinePunct w:val="0"/>
        <w:autoSpaceDE/>
        <w:autoSpaceDN/>
        <w:bidi w:val="0"/>
        <w:adjustRightInd/>
        <w:snapToGrid/>
        <w:spacing w:line="360" w:lineRule="exact"/>
        <w:ind w:left="420" w:leftChars="200"/>
        <w:rPr>
          <w:rFonts w:hint="eastAsia" w:ascii="宋体" w:hAnsi="宋体" w:eastAsia="宋体" w:cs="宋体"/>
          <w:b/>
          <w:bCs/>
          <w:color w:val="auto"/>
          <w:sz w:val="24"/>
          <w:szCs w:val="24"/>
          <w:highlight w:val="none"/>
        </w:rPr>
      </w:pPr>
      <w:bookmarkStart w:id="153" w:name="_Toc13058"/>
      <w:bookmarkStart w:id="154" w:name="_Toc22246"/>
      <w:r>
        <w:rPr>
          <w:rFonts w:hint="eastAsia" w:ascii="宋体" w:hAnsi="宋体" w:eastAsia="宋体" w:cs="宋体"/>
          <w:b/>
          <w:bCs/>
          <w:color w:val="auto"/>
          <w:sz w:val="24"/>
          <w:szCs w:val="24"/>
          <w:highlight w:val="none"/>
        </w:rPr>
        <w:t>合同变更、解除与终止</w:t>
      </w:r>
      <w:bookmarkEnd w:id="153"/>
      <w:bookmarkEnd w:id="154"/>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155" w:name="_Toc20330"/>
      <w:bookmarkStart w:id="156" w:name="_Toc31604"/>
      <w:r>
        <w:rPr>
          <w:rFonts w:hint="eastAsia" w:ascii="宋体" w:hAnsi="宋体" w:eastAsia="宋体" w:cs="宋体"/>
          <w:color w:val="auto"/>
          <w:sz w:val="24"/>
          <w:szCs w:val="24"/>
          <w:highlight w:val="none"/>
        </w:rPr>
        <w:t>6.1 合同变更</w:t>
      </w:r>
      <w:bookmarkEnd w:id="155"/>
      <w:bookmarkEnd w:id="156"/>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6.1.1 任何一方以书面形式提出变更请求时，双方经协商一致后可进行变</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更。</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6.1.2 除不可抗力外，因非咨询人原因导致咨询人履行合同期限延长、内</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容增加时，咨询人应当将此情况与可能产生的影响及时通知委托人。增加的工</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作时间或工作内容应视为附加工作。附加工作酬金的确定方法由双方根据委托</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的服务范围及工作内容在专用条件中约定。</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6.1.3 合同履行过程中，遇有与工程相关的法律法规、强制性标准颁布或</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修订的，双方应遵照执行。非强制性标准、规范、定额等发生变化的，双方协</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商确定执行依据。由此引起造价咨询的服务范围及内容、服务期限、酬金变化</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双方应通过协商确定。</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6.1.4 因工程规模、服务范围及工作内容的变化等导致咨询人的工作量增</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减时，服务酬金应作相应调整，调整方法由双方在专用条件中约定。</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157" w:name="_Toc17354"/>
      <w:bookmarkStart w:id="158" w:name="_Toc8076"/>
      <w:r>
        <w:rPr>
          <w:rFonts w:hint="eastAsia" w:ascii="宋体" w:hAnsi="宋体" w:eastAsia="宋体" w:cs="宋体"/>
          <w:color w:val="auto"/>
          <w:sz w:val="24"/>
          <w:szCs w:val="24"/>
          <w:highlight w:val="none"/>
        </w:rPr>
        <w:t>6.2 合同解除</w:t>
      </w:r>
      <w:bookmarkEnd w:id="157"/>
      <w:bookmarkEnd w:id="158"/>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6.2.1 委托人与咨询人协商一致，可以解除合同。</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6.2.2 有下列情形之一的，合同当事人一方或双方可以解除合同：</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（1）咨询人将本合同约定的工程造价咨询服务工作全部或部分转包给他</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人，委托人可以解除合同；</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（2）咨询人提供的造价咨询服务不符合合同约定的要求，经委托人催告仍</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不能达到合同约定要求的，委托人可以解除合同；</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（3）委托人未按合同约定支付服务酬金，经咨询人催告后，在</w:t>
      </w:r>
      <w:r>
        <w:rPr>
          <w:rFonts w:hint="eastAsia" w:ascii="宋体" w:hAnsi="宋体" w:eastAsia="宋体" w:cs="宋体"/>
          <w:color w:val="auto"/>
          <w:sz w:val="24"/>
          <w:szCs w:val="24"/>
          <w:highlight w:val="none"/>
          <w:u w:val="single"/>
        </w:rPr>
        <w:t xml:space="preserve"> 28 </w:t>
      </w:r>
      <w:r>
        <w:rPr>
          <w:rFonts w:hint="eastAsia" w:ascii="宋体" w:hAnsi="宋体" w:eastAsia="宋体" w:cs="宋体"/>
          <w:color w:val="auto"/>
          <w:sz w:val="24"/>
          <w:szCs w:val="24"/>
          <w:highlight w:val="none"/>
        </w:rPr>
        <w:t>天内仍</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未支付的，咨询人可以解除合同；</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（4）因不可抗力致使合同无法履行；</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（5）因一方违约致使合同无法实际履行或实际履行已无必要。</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除上述情形外，双方可以根据委托的服务范围及工作内容，在专用条件中</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约定解除合同的其他条件。</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6.2.3 任何一方提出解除合同的，应提前</w:t>
      </w:r>
      <w:r>
        <w:rPr>
          <w:rFonts w:hint="eastAsia" w:ascii="宋体" w:hAnsi="宋体" w:eastAsia="宋体" w:cs="宋体"/>
          <w:color w:val="auto"/>
          <w:sz w:val="24"/>
          <w:szCs w:val="24"/>
          <w:highlight w:val="none"/>
          <w:u w:val="single"/>
        </w:rPr>
        <w:t xml:space="preserve"> 30 </w:t>
      </w:r>
      <w:r>
        <w:rPr>
          <w:rFonts w:hint="eastAsia" w:ascii="宋体" w:hAnsi="宋体" w:eastAsia="宋体" w:cs="宋体"/>
          <w:color w:val="auto"/>
          <w:sz w:val="24"/>
          <w:szCs w:val="24"/>
          <w:highlight w:val="none"/>
        </w:rPr>
        <w:t>天书面通知对方。</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6.2.4 合同解除后，委托人应按照合同约定向咨询人支付已完成部分的咨</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询服务酬金。</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因不可抗力导致的合同解除，其损失的分担按照合理分担的原则由合同当</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事人在专用条件中自行约定。除不可抗力外因非咨询人原因导致的合同解除，</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其损失由委托人承担。因咨询人自身原因导致的合同解除，按照违约责任处</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w:t>
      </w:r>
    </w:p>
    <w:p>
      <w:pPr>
        <w:pageBreakBefore w:val="0"/>
        <w:widowControl/>
        <w:kinsoku/>
        <w:wordWrap/>
        <w:overflowPunct/>
        <w:topLinePunct w:val="0"/>
        <w:autoSpaceDE/>
        <w:autoSpaceDN/>
        <w:bidi w:val="0"/>
        <w:adjustRightInd/>
        <w:snapToGrid/>
        <w:spacing w:line="360" w:lineRule="exact"/>
        <w:ind w:firstLine="240" w:firstLineChars="100"/>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6.2.5 本合同解除后，本合同约定的有关结算、争议解决方式的条款仍然</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p>
      <w:pPr>
        <w:pStyle w:val="4"/>
        <w:pageBreakBefore w:val="0"/>
        <w:widowControl/>
        <w:kinsoku/>
        <w:wordWrap/>
        <w:overflowPunct/>
        <w:topLinePunct w:val="0"/>
        <w:autoSpaceDE/>
        <w:autoSpaceDN/>
        <w:bidi w:val="0"/>
        <w:adjustRightInd/>
        <w:snapToGrid/>
        <w:spacing w:line="360" w:lineRule="exact"/>
        <w:ind w:left="420" w:leftChars="200"/>
        <w:rPr>
          <w:rStyle w:val="43"/>
          <w:rFonts w:hint="eastAsia" w:ascii="宋体" w:hAnsi="宋体" w:eastAsia="宋体" w:cs="宋体"/>
          <w:b w:val="0"/>
          <w:bCs w:val="0"/>
          <w:color w:val="auto"/>
          <w:sz w:val="24"/>
          <w:szCs w:val="24"/>
          <w:highlight w:val="none"/>
        </w:rPr>
      </w:pPr>
      <w:bookmarkStart w:id="159" w:name="_Toc18695"/>
      <w:bookmarkStart w:id="160" w:name="_Toc5298"/>
      <w:r>
        <w:rPr>
          <w:rFonts w:hint="eastAsia" w:ascii="宋体" w:hAnsi="宋体" w:eastAsia="宋体" w:cs="宋体"/>
          <w:color w:val="auto"/>
          <w:sz w:val="24"/>
          <w:szCs w:val="24"/>
          <w:highlight w:val="none"/>
        </w:rPr>
        <w:t>6.3 合同终止</w:t>
      </w:r>
      <w:bookmarkEnd w:id="159"/>
      <w:bookmarkEnd w:id="160"/>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除合同解除外，以下条件全部满足时，本合同终止：</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（1）咨询人完成本合同约定的全部工作；</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（2）委托人与咨询人结清并支付酬金；</w:t>
      </w:r>
    </w:p>
    <w:p>
      <w:pPr>
        <w:pageBreakBefore w:val="0"/>
        <w:widowControl/>
        <w:kinsoku/>
        <w:wordWrap/>
        <w:overflowPunct/>
        <w:topLinePunct w:val="0"/>
        <w:autoSpaceDE/>
        <w:autoSpaceDN/>
        <w:bidi w:val="0"/>
        <w:adjustRightInd/>
        <w:snapToGrid/>
        <w:spacing w:line="360" w:lineRule="exact"/>
        <w:ind w:firstLine="480" w:firstLineChars="200"/>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（3）咨询人将委托人提供的资料交还。</w:t>
      </w:r>
    </w:p>
    <w:p>
      <w:pPr>
        <w:pStyle w:val="3"/>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161" w:name="_Toc112"/>
      <w:bookmarkStart w:id="162" w:name="_Toc8478"/>
      <w:r>
        <w:rPr>
          <w:rFonts w:hint="eastAsia" w:ascii="宋体" w:hAnsi="宋体" w:eastAsia="宋体" w:cs="宋体"/>
          <w:color w:val="auto"/>
          <w:sz w:val="24"/>
          <w:szCs w:val="24"/>
          <w:highlight w:val="none"/>
        </w:rPr>
        <w:t>7</w:t>
      </w:r>
      <w:r>
        <w:rPr>
          <w:rFonts w:hint="eastAsia" w:ascii="宋体" w:hAnsi="宋体" w:eastAsia="宋体" w:cs="宋体"/>
          <w:b/>
          <w:bCs/>
          <w:color w:val="auto"/>
          <w:sz w:val="24"/>
          <w:szCs w:val="24"/>
          <w:highlight w:val="none"/>
        </w:rPr>
        <w:t>.争议解决</w:t>
      </w:r>
      <w:bookmarkEnd w:id="161"/>
      <w:bookmarkEnd w:id="162"/>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163" w:name="_Toc19786"/>
      <w:bookmarkStart w:id="164" w:name="_Toc29874"/>
      <w:r>
        <w:rPr>
          <w:rFonts w:hint="eastAsia" w:ascii="宋体" w:hAnsi="宋体" w:eastAsia="宋体" w:cs="宋体"/>
          <w:color w:val="auto"/>
          <w:sz w:val="24"/>
          <w:szCs w:val="24"/>
          <w:highlight w:val="none"/>
        </w:rPr>
        <w:t>7.1 协商</w:t>
      </w:r>
      <w:bookmarkEnd w:id="163"/>
      <w:bookmarkEnd w:id="164"/>
    </w:p>
    <w:p>
      <w:pPr>
        <w:pageBreakBefore w:val="0"/>
        <w:widowControl/>
        <w:kinsoku/>
        <w:wordWrap/>
        <w:overflowPunct/>
        <w:topLinePunct w:val="0"/>
        <w:autoSpaceDE/>
        <w:autoSpaceDN/>
        <w:bidi w:val="0"/>
        <w:adjustRightInd/>
        <w:snapToGrid/>
        <w:spacing w:line="360" w:lineRule="exact"/>
        <w:ind w:firstLine="480" w:firstLineChars="200"/>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双方应本着诚实信用的原则协商解决本合同履行过程中发生的争议。</w:t>
      </w:r>
      <w:bookmarkStart w:id="165" w:name="_Toc6682"/>
      <w:bookmarkStart w:id="166" w:name="_Toc29743"/>
    </w:p>
    <w:p>
      <w:pPr>
        <w:pageBreakBefore w:val="0"/>
        <w:widowControl/>
        <w:kinsoku/>
        <w:wordWrap/>
        <w:overflowPunct/>
        <w:topLinePunct w:val="0"/>
        <w:autoSpaceDE/>
        <w:autoSpaceDN/>
        <w:bidi w:val="0"/>
        <w:adjustRightInd/>
        <w:snapToGrid/>
        <w:spacing w:line="360" w:lineRule="exact"/>
        <w:ind w:firstLine="480" w:firstLineChars="200"/>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调解</w:t>
      </w:r>
      <w:bookmarkEnd w:id="165"/>
      <w:bookmarkEnd w:id="166"/>
    </w:p>
    <w:p>
      <w:pPr>
        <w:pageBreakBefore w:val="0"/>
        <w:widowControl/>
        <w:kinsoku/>
        <w:wordWrap/>
        <w:overflowPunct/>
        <w:topLinePunct w:val="0"/>
        <w:autoSpaceDE/>
        <w:autoSpaceDN/>
        <w:bidi w:val="0"/>
        <w:adjustRightInd/>
        <w:snapToGrid/>
        <w:spacing w:line="360" w:lineRule="exact"/>
        <w:ind w:firstLine="480" w:firstLineChars="200"/>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如果双方不能在</w:t>
      </w:r>
      <w:r>
        <w:rPr>
          <w:rFonts w:hint="eastAsia" w:ascii="宋体" w:hAnsi="宋体" w:eastAsia="宋体" w:cs="宋体"/>
          <w:color w:val="auto"/>
          <w:sz w:val="24"/>
          <w:szCs w:val="24"/>
          <w:highlight w:val="none"/>
          <w:u w:val="single"/>
        </w:rPr>
        <w:t xml:space="preserve"> 14 </w:t>
      </w:r>
      <w:r>
        <w:rPr>
          <w:rFonts w:hint="eastAsia" w:ascii="宋体" w:hAnsi="宋体" w:eastAsia="宋体" w:cs="宋体"/>
          <w:color w:val="auto"/>
          <w:sz w:val="24"/>
          <w:szCs w:val="24"/>
          <w:highlight w:val="none"/>
        </w:rPr>
        <w:t>日内或双方商定的其他时间内解决本合同争议，可以将其提交给专用条件约定的或事后达成协议的调解人进行调解。</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167" w:name="_Toc28262"/>
      <w:bookmarkStart w:id="168" w:name="_Toc24080"/>
      <w:r>
        <w:rPr>
          <w:rFonts w:hint="eastAsia" w:ascii="宋体" w:hAnsi="宋体" w:eastAsia="宋体" w:cs="宋体"/>
          <w:color w:val="auto"/>
          <w:sz w:val="24"/>
          <w:szCs w:val="24"/>
          <w:highlight w:val="none"/>
        </w:rPr>
        <w:t>7.3 仲裁或诉讼</w:t>
      </w:r>
      <w:bookmarkEnd w:id="167"/>
      <w:bookmarkEnd w:id="168"/>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双方均有权不经调解直接向专用条件约定的仲裁机构申请仲裁或向有管辖</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权的人民法院提起诉讼。</w:t>
      </w:r>
    </w:p>
    <w:p>
      <w:pPr>
        <w:pStyle w:val="3"/>
        <w:pageBreakBefore w:val="0"/>
        <w:widowControl/>
        <w:numPr>
          <w:ilvl w:val="0"/>
          <w:numId w:val="3"/>
        </w:numPr>
        <w:kinsoku/>
        <w:wordWrap/>
        <w:overflowPunct/>
        <w:topLinePunct w:val="0"/>
        <w:autoSpaceDE/>
        <w:autoSpaceDN/>
        <w:bidi w:val="0"/>
        <w:adjustRightInd/>
        <w:snapToGrid/>
        <w:spacing w:line="360" w:lineRule="exact"/>
        <w:ind w:left="420" w:leftChars="200"/>
        <w:rPr>
          <w:rFonts w:hint="eastAsia" w:ascii="宋体" w:hAnsi="宋体" w:eastAsia="宋体" w:cs="宋体"/>
          <w:b/>
          <w:bCs/>
          <w:color w:val="auto"/>
          <w:sz w:val="24"/>
          <w:szCs w:val="24"/>
          <w:highlight w:val="none"/>
        </w:rPr>
      </w:pPr>
      <w:bookmarkStart w:id="169" w:name="_Toc12267"/>
      <w:bookmarkStart w:id="170" w:name="_Toc29993"/>
      <w:r>
        <w:rPr>
          <w:rFonts w:hint="eastAsia" w:ascii="宋体" w:hAnsi="宋体" w:eastAsia="宋体" w:cs="宋体"/>
          <w:b/>
          <w:bCs/>
          <w:color w:val="auto"/>
          <w:sz w:val="24"/>
          <w:szCs w:val="24"/>
          <w:highlight w:val="none"/>
        </w:rPr>
        <w:t>其他</w:t>
      </w:r>
      <w:bookmarkEnd w:id="169"/>
      <w:bookmarkEnd w:id="170"/>
    </w:p>
    <w:p>
      <w:pPr>
        <w:pStyle w:val="4"/>
        <w:pageBreakBefore w:val="0"/>
        <w:widowControl/>
        <w:kinsoku/>
        <w:wordWrap/>
        <w:overflowPunct/>
        <w:topLinePunct w:val="0"/>
        <w:autoSpaceDE/>
        <w:autoSpaceDN/>
        <w:bidi w:val="0"/>
        <w:adjustRightInd/>
        <w:snapToGrid/>
        <w:spacing w:line="360" w:lineRule="exact"/>
        <w:ind w:left="420" w:leftChars="200"/>
        <w:rPr>
          <w:rStyle w:val="43"/>
          <w:rFonts w:hint="eastAsia" w:ascii="宋体" w:hAnsi="宋体" w:eastAsia="宋体" w:cs="宋体"/>
          <w:b w:val="0"/>
          <w:bCs w:val="0"/>
          <w:color w:val="auto"/>
          <w:sz w:val="24"/>
          <w:szCs w:val="24"/>
          <w:highlight w:val="none"/>
        </w:rPr>
      </w:pPr>
      <w:bookmarkStart w:id="171" w:name="_Toc19028"/>
      <w:bookmarkStart w:id="172" w:name="_Toc8793"/>
      <w:r>
        <w:rPr>
          <w:rFonts w:hint="eastAsia" w:ascii="宋体" w:hAnsi="宋体" w:eastAsia="宋体" w:cs="宋体"/>
          <w:color w:val="auto"/>
          <w:sz w:val="24"/>
          <w:szCs w:val="24"/>
          <w:highlight w:val="none"/>
        </w:rPr>
        <w:t>8.1 考察及相关费用</w:t>
      </w:r>
      <w:bookmarkEnd w:id="171"/>
      <w:bookmarkEnd w:id="172"/>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除专用条件另有约定外，咨询人经委托人同意进行考察发生的费用由委托</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人审核后另行支付。差旅费及相关费用的承担由双方在专用条件中约定。</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173" w:name="_Toc12563"/>
      <w:bookmarkStart w:id="174" w:name="_Toc20446"/>
      <w:r>
        <w:rPr>
          <w:rFonts w:hint="eastAsia" w:ascii="宋体" w:hAnsi="宋体" w:eastAsia="宋体" w:cs="宋体"/>
          <w:color w:val="auto"/>
          <w:sz w:val="24"/>
          <w:szCs w:val="24"/>
          <w:highlight w:val="none"/>
        </w:rPr>
        <w:t>8.2 奖励</w:t>
      </w:r>
      <w:bookmarkEnd w:id="173"/>
      <w:bookmarkEnd w:id="174"/>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对于咨询人在服务过程中提出合理化建议，使委托人获得效益的，双方在</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专用条件中约定奖励金额的确定方法。奖励金额在合理化建议被采纳后，与最</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近一期的正常工作酬金同期支付。</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175" w:name="_Toc29170"/>
      <w:bookmarkStart w:id="176" w:name="_Toc29412"/>
      <w:r>
        <w:rPr>
          <w:rFonts w:hint="eastAsia" w:ascii="宋体" w:hAnsi="宋体" w:eastAsia="宋体" w:cs="宋体"/>
          <w:color w:val="auto"/>
          <w:sz w:val="24"/>
          <w:szCs w:val="24"/>
          <w:highlight w:val="none"/>
        </w:rPr>
        <w:t>8.3 保密</w:t>
      </w:r>
      <w:bookmarkEnd w:id="175"/>
      <w:bookmarkEnd w:id="176"/>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在本合同履行期间或专用条件约定的期限内，双方不得泄露对方申明的保</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密资料，亦不得泄露与实施工程有关的第三人所提供的保密资料。保密事项在</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专用条件中约定。</w:t>
      </w:r>
    </w:p>
    <w:p>
      <w:pPr>
        <w:pageBreakBefore w:val="0"/>
        <w:widowControl/>
        <w:kinsoku/>
        <w:wordWrap/>
        <w:overflowPunct/>
        <w:topLinePunct w:val="0"/>
        <w:autoSpaceDE/>
        <w:autoSpaceDN/>
        <w:bidi w:val="0"/>
        <w:adjustRightInd/>
        <w:snapToGrid/>
        <w:spacing w:line="360" w:lineRule="exact"/>
        <w:textAlignment w:val="top"/>
        <w:rPr>
          <w:rStyle w:val="43"/>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177" w:name="_Toc6419"/>
      <w:bookmarkStart w:id="178" w:name="_Toc6235"/>
      <w:r>
        <w:rPr>
          <w:rStyle w:val="43"/>
          <w:rFonts w:hint="eastAsia" w:ascii="宋体" w:hAnsi="宋体" w:eastAsia="宋体" w:cs="宋体"/>
          <w:color w:val="auto"/>
          <w:sz w:val="24"/>
          <w:szCs w:val="24"/>
          <w:highlight w:val="none"/>
        </w:rPr>
        <w:t>8.4</w:t>
      </w:r>
      <w:bookmarkEnd w:id="177"/>
      <w:bookmarkEnd w:id="178"/>
      <w:r>
        <w:rPr>
          <w:rStyle w:val="43"/>
          <w:rFonts w:hint="eastAsia" w:ascii="宋体" w:hAnsi="宋体" w:eastAsia="宋体" w:cs="宋体"/>
          <w:color w:val="auto"/>
          <w:sz w:val="24"/>
          <w:szCs w:val="24"/>
          <w:highlight w:val="none"/>
        </w:rPr>
        <w:t>联络</w:t>
      </w:r>
    </w:p>
    <w:p>
      <w:pPr>
        <w:pageBreakBefore w:val="0"/>
        <w:widowControl/>
        <w:kinsoku/>
        <w:wordWrap/>
        <w:overflowPunct/>
        <w:topLinePunct w:val="0"/>
        <w:autoSpaceDE/>
        <w:autoSpaceDN/>
        <w:bidi w:val="0"/>
        <w:adjustRightInd/>
        <w:snapToGrid/>
        <w:spacing w:line="360" w:lineRule="exact"/>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8.4.1 与合同有关的通知、指示、要求、决定等，均应采用书面形式，并</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应在专用条件约定的期限内送达接收人和送达地点。</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8.4.2 委托人和咨询人应在专用条件中约定各自的送达接收人、送达地</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点、电子邮箱。任何一方指定的接收人或送达地点或电子邮箱发生变动的，应</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提前3天以书面形式通知对方，否则视为未发生变动。</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8.4.3 委托人和咨询人应当及时签收另一方送达至送达地点和指定接收人</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的往来函件，如确有充分证据证明一方无正当理由拒不签收的，视为认可往来</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函件的内容。</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179" w:name="_Toc6530"/>
      <w:bookmarkStart w:id="180" w:name="_Toc14898"/>
      <w:r>
        <w:rPr>
          <w:rFonts w:hint="eastAsia" w:ascii="宋体" w:hAnsi="宋体" w:eastAsia="宋体" w:cs="宋体"/>
          <w:color w:val="auto"/>
          <w:sz w:val="24"/>
          <w:szCs w:val="24"/>
          <w:highlight w:val="none"/>
        </w:rPr>
        <w:t>8.5 知识产权</w:t>
      </w:r>
      <w:bookmarkEnd w:id="179"/>
      <w:bookmarkEnd w:id="180"/>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除专用条件另有约定外，委托人提供给咨询人的图纸、委托人为实施工程</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自行编制或委托编制的技术规范以及反映委托人要求的或其他类似性质文件的</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著作权属于委托人，咨询人可以为实现本合同目的而复制或者以其他方式使用</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此类文件，但不能用于与本合同无关的其他事项。未经委托人书面同意，咨询</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人不得为了本合同以外的目的而复制或者以其他方式使用上述文件或将之提供</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给任何第三方。</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除专用条件另有约定外，咨询人为履行本合同约定而编制的成果文件，其</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著作权属于咨询人。委托人可以为实现合同目的而复制、使用此类文件，但不</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能擅自修改或用于与本合同无关的其他事项。未经咨询人书面同意，委托人不</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得为了本合同以外的目的而复制或者以其他方式使用上述文件或将之提供给任</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何第三方。</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双方保证在履行本合同过程中不侵犯对方及第三方的知识产权。因咨询人</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侵犯他人知识产权所引起的责任，由咨询人承担；因委托人提供的基础资料导</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致侵权的，由委托人承担责任。</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除专用条件另有约定外，双方均有权在履行本合同保密义务并且不损害对</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方利益的情况下，将履行本合同形成的有关成果文件用于企业宣传、申报奖项</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以及接受上级主管部门的检查。</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p>
    <w:p>
      <w:pPr>
        <w:pStyle w:val="2"/>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bookmarkStart w:id="181" w:name="_Toc27290"/>
      <w:bookmarkStart w:id="182" w:name="_Toc6019"/>
      <w:bookmarkStart w:id="183" w:name="_Toc29827"/>
      <w:r>
        <w:rPr>
          <w:rFonts w:hint="eastAsia" w:ascii="宋体" w:hAnsi="宋体" w:eastAsia="宋体" w:cs="宋体"/>
          <w:color w:val="auto"/>
          <w:sz w:val="24"/>
          <w:szCs w:val="24"/>
          <w:highlight w:val="none"/>
        </w:rPr>
        <w:t>第三部分 专用条件</w:t>
      </w:r>
      <w:bookmarkEnd w:id="181"/>
      <w:bookmarkEnd w:id="182"/>
      <w:bookmarkEnd w:id="183"/>
    </w:p>
    <w:p>
      <w:pPr>
        <w:pStyle w:val="3"/>
        <w:pageBreakBefore w:val="0"/>
        <w:widowControl/>
        <w:numPr>
          <w:ilvl w:val="0"/>
          <w:numId w:val="4"/>
        </w:numPr>
        <w:kinsoku/>
        <w:wordWrap/>
        <w:overflowPunct/>
        <w:topLinePunct w:val="0"/>
        <w:autoSpaceDE/>
        <w:autoSpaceDN/>
        <w:bidi w:val="0"/>
        <w:adjustRightInd/>
        <w:snapToGrid/>
        <w:spacing w:line="360" w:lineRule="exact"/>
        <w:ind w:left="400" w:leftChars="0"/>
        <w:rPr>
          <w:rFonts w:hint="eastAsia" w:ascii="宋体" w:hAnsi="宋体" w:eastAsia="宋体" w:cs="宋体"/>
          <w:b/>
          <w:bCs/>
          <w:color w:val="auto"/>
          <w:sz w:val="24"/>
          <w:szCs w:val="24"/>
          <w:highlight w:val="none"/>
        </w:rPr>
      </w:pPr>
      <w:bookmarkStart w:id="184" w:name="_Toc9369"/>
      <w:bookmarkStart w:id="185" w:name="_Toc2675"/>
      <w:r>
        <w:rPr>
          <w:rFonts w:hint="eastAsia" w:ascii="宋体" w:hAnsi="宋体" w:eastAsia="宋体" w:cs="宋体"/>
          <w:b/>
          <w:bCs/>
          <w:color w:val="auto"/>
          <w:sz w:val="24"/>
          <w:szCs w:val="24"/>
          <w:highlight w:val="none"/>
        </w:rPr>
        <w:t>词语定义、语言、解释顺序与适用法律</w:t>
      </w:r>
      <w:bookmarkEnd w:id="184"/>
      <w:bookmarkEnd w:id="185"/>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186" w:name="_Toc27173"/>
      <w:bookmarkStart w:id="187" w:name="_Toc11769"/>
      <w:r>
        <w:rPr>
          <w:rFonts w:hint="eastAsia" w:ascii="宋体" w:hAnsi="宋体" w:eastAsia="宋体" w:cs="宋体"/>
          <w:color w:val="auto"/>
          <w:sz w:val="24"/>
          <w:szCs w:val="24"/>
          <w:highlight w:val="none"/>
        </w:rPr>
        <w:t>1.1语言</w:t>
      </w:r>
      <w:bookmarkEnd w:id="186"/>
      <w:bookmarkEnd w:id="187"/>
    </w:p>
    <w:p>
      <w:pPr>
        <w:pageBreakBefore w:val="0"/>
        <w:widowControl/>
        <w:kinsoku/>
        <w:wordWrap/>
        <w:overflowPunct/>
        <w:topLinePunct w:val="0"/>
        <w:autoSpaceDE/>
        <w:autoSpaceDN/>
        <w:bidi w:val="0"/>
        <w:adjustRightInd/>
        <w:snapToGrid/>
        <w:spacing w:line="360" w:lineRule="exact"/>
        <w:ind w:firstLine="480" w:firstLineChars="200"/>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本合同文件除使用中文外，还可用</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188" w:name="_Toc28207"/>
      <w:bookmarkStart w:id="189" w:name="_Toc22008"/>
      <w:r>
        <w:rPr>
          <w:rFonts w:hint="eastAsia" w:ascii="宋体" w:hAnsi="宋体" w:eastAsia="宋体" w:cs="宋体"/>
          <w:color w:val="auto"/>
          <w:sz w:val="24"/>
          <w:szCs w:val="24"/>
          <w:highlight w:val="none"/>
        </w:rPr>
        <w:t>1.2 合同文件的优先顺序</w:t>
      </w:r>
      <w:bookmarkEnd w:id="188"/>
      <w:bookmarkEnd w:id="189"/>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本合同文件的解释顺序为：</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190" w:name="_Toc5236"/>
      <w:bookmarkStart w:id="191" w:name="_Toc20796"/>
      <w:r>
        <w:rPr>
          <w:rFonts w:hint="eastAsia" w:ascii="宋体" w:hAnsi="宋体" w:eastAsia="宋体" w:cs="宋体"/>
          <w:color w:val="auto"/>
          <w:sz w:val="24"/>
          <w:szCs w:val="24"/>
          <w:highlight w:val="none"/>
        </w:rPr>
        <w:t>1.3适用法律</w:t>
      </w:r>
      <w:bookmarkEnd w:id="190"/>
      <w:bookmarkEnd w:id="191"/>
    </w:p>
    <w:p>
      <w:pPr>
        <w:pageBreakBefore w:val="0"/>
        <w:widowControl/>
        <w:kinsoku/>
        <w:wordWrap/>
        <w:overflowPunct/>
        <w:topLinePunct w:val="0"/>
        <w:autoSpaceDE/>
        <w:autoSpaceDN/>
        <w:bidi w:val="0"/>
        <w:adjustRightInd/>
        <w:snapToGrid/>
        <w:spacing w:line="360" w:lineRule="exact"/>
        <w:ind w:firstLine="480" w:firstLineChars="200"/>
        <w:jc w:val="both"/>
        <w:textAlignment w:val="top"/>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本合同适用的其他规范性文件包括:</w:t>
      </w:r>
      <w:r>
        <w:rPr>
          <w:rFonts w:hint="eastAsia" w:ascii="宋体" w:hAnsi="宋体" w:eastAsia="宋体" w:cs="宋体"/>
          <w:color w:val="auto"/>
          <w:sz w:val="24"/>
          <w:szCs w:val="24"/>
          <w:highlight w:val="none"/>
          <w:u w:val="single"/>
        </w:rPr>
        <w:t xml:space="preserve">  按通用条款执行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3"/>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b/>
          <w:bCs/>
          <w:color w:val="auto"/>
          <w:sz w:val="24"/>
          <w:szCs w:val="24"/>
          <w:highlight w:val="none"/>
        </w:rPr>
      </w:pPr>
      <w:bookmarkStart w:id="192" w:name="_Toc21246"/>
      <w:bookmarkStart w:id="193" w:name="_Toc11025"/>
      <w:r>
        <w:rPr>
          <w:rFonts w:hint="eastAsia" w:ascii="宋体" w:hAnsi="宋体" w:eastAsia="宋体" w:cs="宋体"/>
          <w:b/>
          <w:bCs/>
          <w:color w:val="auto"/>
          <w:sz w:val="24"/>
          <w:szCs w:val="24"/>
          <w:highlight w:val="none"/>
        </w:rPr>
        <w:t>2.委托人的义务</w:t>
      </w:r>
      <w:bookmarkEnd w:id="192"/>
      <w:bookmarkEnd w:id="193"/>
    </w:p>
    <w:p>
      <w:pPr>
        <w:pStyle w:val="4"/>
        <w:pageBreakBefore w:val="0"/>
        <w:widowControl/>
        <w:kinsoku/>
        <w:wordWrap/>
        <w:overflowPunct/>
        <w:topLinePunct w:val="0"/>
        <w:autoSpaceDE/>
        <w:autoSpaceDN/>
        <w:bidi w:val="0"/>
        <w:adjustRightInd/>
        <w:snapToGrid/>
        <w:spacing w:line="360" w:lineRule="exact"/>
        <w:ind w:left="420" w:leftChars="200"/>
        <w:rPr>
          <w:rStyle w:val="43"/>
          <w:rFonts w:hint="eastAsia" w:ascii="宋体" w:hAnsi="宋体" w:eastAsia="宋体" w:cs="宋体"/>
          <w:b w:val="0"/>
          <w:bCs w:val="0"/>
          <w:color w:val="auto"/>
          <w:sz w:val="24"/>
          <w:szCs w:val="24"/>
          <w:highlight w:val="none"/>
        </w:rPr>
      </w:pPr>
      <w:bookmarkStart w:id="194" w:name="_Toc10554"/>
      <w:bookmarkStart w:id="195" w:name="_Toc19242"/>
      <w:r>
        <w:rPr>
          <w:rFonts w:hint="eastAsia" w:ascii="宋体" w:hAnsi="宋体" w:eastAsia="宋体" w:cs="宋体"/>
          <w:color w:val="auto"/>
          <w:sz w:val="24"/>
          <w:szCs w:val="24"/>
          <w:highlight w:val="none"/>
        </w:rPr>
        <w:t>2.1 提供资料</w:t>
      </w:r>
      <w:bookmarkEnd w:id="194"/>
      <w:bookmarkEnd w:id="195"/>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委托人按照约定无偿向咨询人提供与本合同咨询业务有关资料的时间为：</w:t>
      </w:r>
      <w:r>
        <w:rPr>
          <w:rFonts w:hint="eastAsia" w:ascii="宋体" w:hAnsi="宋体" w:eastAsia="宋体" w:cs="宋体"/>
          <w:color w:val="auto"/>
          <w:sz w:val="24"/>
          <w:szCs w:val="24"/>
          <w:highlight w:val="none"/>
          <w:u w:val="single"/>
        </w:rPr>
        <w:t>由委托人另行通知</w:t>
      </w:r>
      <w:r>
        <w:rPr>
          <w:rFonts w:hint="eastAsia" w:ascii="宋体" w:hAnsi="宋体" w:eastAsia="宋体" w:cs="宋体"/>
          <w:color w:val="auto"/>
          <w:sz w:val="24"/>
          <w:szCs w:val="24"/>
          <w:highlight w:val="none"/>
        </w:rPr>
        <w:t>。</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196" w:name="_Toc51"/>
      <w:bookmarkStart w:id="197" w:name="_Toc12222"/>
      <w:r>
        <w:rPr>
          <w:rFonts w:hint="eastAsia" w:ascii="宋体" w:hAnsi="宋体" w:eastAsia="宋体" w:cs="宋体"/>
          <w:color w:val="auto"/>
          <w:sz w:val="24"/>
          <w:szCs w:val="24"/>
          <w:highlight w:val="none"/>
        </w:rPr>
        <w:t>2.2 提供工作条件</w:t>
      </w:r>
      <w:bookmarkEnd w:id="196"/>
      <w:bookmarkEnd w:id="197"/>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2.2.1 项目咨询人员使用由委托人提供的房屋及设备，支付使用费的标准为：</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198" w:name="_Toc2666"/>
      <w:bookmarkStart w:id="199" w:name="_Toc159"/>
      <w:r>
        <w:rPr>
          <w:rFonts w:hint="eastAsia" w:ascii="宋体" w:hAnsi="宋体" w:eastAsia="宋体" w:cs="宋体"/>
          <w:color w:val="auto"/>
          <w:sz w:val="24"/>
          <w:szCs w:val="24"/>
          <w:highlight w:val="none"/>
        </w:rPr>
        <w:t>2.3委托人代表</w:t>
      </w:r>
      <w:bookmarkEnd w:id="198"/>
      <w:bookmarkEnd w:id="199"/>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委托人代表为：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，其权限范围：全面负责该项目审核工作。</w:t>
      </w:r>
    </w:p>
    <w:p>
      <w:pPr>
        <w:pStyle w:val="4"/>
        <w:pageBreakBefore w:val="0"/>
        <w:widowControl/>
        <w:kinsoku/>
        <w:wordWrap/>
        <w:overflowPunct/>
        <w:topLinePunct w:val="0"/>
        <w:autoSpaceDE/>
        <w:autoSpaceDN/>
        <w:bidi w:val="0"/>
        <w:adjustRightInd/>
        <w:snapToGrid/>
        <w:spacing w:line="360" w:lineRule="exact"/>
        <w:ind w:left="420" w:leftChars="200"/>
        <w:rPr>
          <w:rStyle w:val="43"/>
          <w:rFonts w:hint="eastAsia" w:ascii="宋体" w:hAnsi="宋体" w:eastAsia="宋体" w:cs="宋体"/>
          <w:b w:val="0"/>
          <w:bCs w:val="0"/>
          <w:color w:val="auto"/>
          <w:sz w:val="24"/>
          <w:szCs w:val="24"/>
          <w:highlight w:val="none"/>
        </w:rPr>
      </w:pPr>
      <w:bookmarkStart w:id="200" w:name="_Toc16962"/>
      <w:bookmarkStart w:id="201" w:name="_Toc21022"/>
      <w:r>
        <w:rPr>
          <w:rFonts w:hint="eastAsia" w:ascii="宋体" w:hAnsi="宋体" w:eastAsia="宋体" w:cs="宋体"/>
          <w:color w:val="auto"/>
          <w:sz w:val="24"/>
          <w:szCs w:val="24"/>
          <w:highlight w:val="none"/>
        </w:rPr>
        <w:t>2.4答复</w:t>
      </w:r>
      <w:bookmarkEnd w:id="200"/>
      <w:bookmarkEnd w:id="201"/>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委托人同意在</w:t>
      </w:r>
      <w:r>
        <w:rPr>
          <w:rFonts w:hint="eastAsia" w:ascii="宋体" w:hAnsi="宋体" w:eastAsia="宋体" w:cs="宋体"/>
          <w:strike w:val="0"/>
          <w:dstrike w:val="0"/>
          <w:color w:val="auto"/>
          <w:sz w:val="24"/>
          <w:szCs w:val="24"/>
          <w:highlight w:val="none"/>
          <w:u w:val="single"/>
          <w:lang w:val="en-US" w:eastAsia="zh-CN"/>
        </w:rPr>
        <w:t xml:space="preserve"> 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日内，对咨询人书面提交并要求</w:t>
      </w:r>
      <w:r>
        <w:rPr>
          <w:rFonts w:hint="eastAsia" w:ascii="宋体" w:hAnsi="宋体" w:eastAsia="宋体" w:cs="宋体"/>
          <w:color w:val="auto"/>
          <w:sz w:val="24"/>
          <w:szCs w:val="24"/>
          <w:highlight w:val="none"/>
          <w:lang w:eastAsia="zh-CN"/>
        </w:rPr>
        <w:t>作出</w:t>
      </w:r>
      <w:r>
        <w:rPr>
          <w:rFonts w:hint="eastAsia" w:ascii="宋体" w:hAnsi="宋体" w:eastAsia="宋体" w:cs="宋体"/>
          <w:color w:val="auto"/>
          <w:sz w:val="24"/>
          <w:szCs w:val="24"/>
          <w:highlight w:val="none"/>
        </w:rPr>
        <w:t>决定的事宜给予书面答复。逾期未答复的，视为委托人认可。</w:t>
      </w:r>
    </w:p>
    <w:p>
      <w:pPr>
        <w:pStyle w:val="3"/>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b/>
          <w:bCs/>
          <w:color w:val="auto"/>
          <w:sz w:val="24"/>
          <w:szCs w:val="24"/>
          <w:highlight w:val="none"/>
        </w:rPr>
      </w:pPr>
      <w:bookmarkStart w:id="202" w:name="_Toc31699"/>
      <w:bookmarkStart w:id="203" w:name="_Toc24839"/>
      <w:r>
        <w:rPr>
          <w:rFonts w:hint="eastAsia" w:ascii="宋体" w:hAnsi="宋体" w:eastAsia="宋体" w:cs="宋体"/>
          <w:b/>
          <w:bCs/>
          <w:color w:val="auto"/>
          <w:sz w:val="24"/>
          <w:szCs w:val="24"/>
          <w:highlight w:val="none"/>
        </w:rPr>
        <w:t>3. 咨询人的义务</w:t>
      </w:r>
      <w:bookmarkEnd w:id="202"/>
      <w:bookmarkEnd w:id="203"/>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204" w:name="_Toc31411"/>
      <w:bookmarkStart w:id="205" w:name="_Toc15911"/>
      <w:r>
        <w:rPr>
          <w:rFonts w:hint="eastAsia" w:ascii="宋体" w:hAnsi="宋体" w:eastAsia="宋体" w:cs="宋体"/>
          <w:color w:val="auto"/>
          <w:sz w:val="24"/>
          <w:szCs w:val="24"/>
          <w:highlight w:val="none"/>
        </w:rPr>
        <w:t>3.1 项目咨询团队及人员</w:t>
      </w:r>
      <w:bookmarkEnd w:id="204"/>
      <w:bookmarkEnd w:id="205"/>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3.1.1 项目咨询团队的主要人员应具有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一级造价工程师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资格条件。</w:t>
      </w:r>
    </w:p>
    <w:p>
      <w:pPr>
        <w:pageBreakBefore w:val="0"/>
        <w:widowControl/>
        <w:kinsoku/>
        <w:wordWrap/>
        <w:overflowPunct/>
        <w:topLinePunct w:val="0"/>
        <w:autoSpaceDE/>
        <w:autoSpaceDN/>
        <w:bidi w:val="0"/>
        <w:adjustRightInd/>
        <w:snapToGrid/>
        <w:spacing w:line="360" w:lineRule="exact"/>
        <w:ind w:firstLine="480" w:firstLineChars="200"/>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项目负责人为：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，项目负责人为履行本合同的权限为：</w:t>
      </w:r>
      <w:r>
        <w:rPr>
          <w:rFonts w:hint="eastAsia" w:ascii="宋体" w:hAnsi="宋体" w:eastAsia="宋体" w:cs="宋体"/>
          <w:color w:val="auto"/>
          <w:sz w:val="24"/>
          <w:szCs w:val="24"/>
          <w:highlight w:val="none"/>
          <w:u w:val="single"/>
        </w:rPr>
        <w:t>负责组织整个委托项目的咨询工作以及作为本项目咨询人的联系人。</w:t>
      </w:r>
    </w:p>
    <w:p>
      <w:pPr>
        <w:pageBreakBefore w:val="0"/>
        <w:widowControl/>
        <w:kinsoku/>
        <w:wordWrap/>
        <w:overflowPunct/>
        <w:topLinePunct w:val="0"/>
        <w:autoSpaceDE/>
        <w:autoSpaceDN/>
        <w:bidi w:val="0"/>
        <w:adjustRightInd/>
        <w:snapToGrid/>
        <w:spacing w:line="360" w:lineRule="exact"/>
        <w:ind w:firstLine="480" w:firstLineChars="200"/>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咨询人更换项目咨询团队其他咨询人员的约定。</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3.1.4 委托人要求更换咨询人员的情形还包括：/ 。</w:t>
      </w:r>
    </w:p>
    <w:p>
      <w:pPr>
        <w:pStyle w:val="4"/>
        <w:pageBreakBefore w:val="0"/>
        <w:widowControl/>
        <w:kinsoku/>
        <w:wordWrap/>
        <w:overflowPunct/>
        <w:topLinePunct w:val="0"/>
        <w:autoSpaceDE/>
        <w:autoSpaceDN/>
        <w:bidi w:val="0"/>
        <w:adjustRightInd/>
        <w:snapToGrid/>
        <w:spacing w:line="360" w:lineRule="exact"/>
        <w:ind w:left="420" w:leftChars="200"/>
        <w:rPr>
          <w:rStyle w:val="43"/>
          <w:rFonts w:hint="eastAsia" w:ascii="宋体" w:hAnsi="宋体" w:eastAsia="宋体" w:cs="宋体"/>
          <w:b w:val="0"/>
          <w:bCs w:val="0"/>
          <w:color w:val="auto"/>
          <w:sz w:val="24"/>
          <w:szCs w:val="24"/>
          <w:highlight w:val="none"/>
        </w:rPr>
      </w:pPr>
      <w:bookmarkStart w:id="206" w:name="_Toc12589"/>
      <w:bookmarkStart w:id="207" w:name="_Toc10946"/>
      <w:r>
        <w:rPr>
          <w:rFonts w:hint="eastAsia" w:ascii="宋体" w:hAnsi="宋体" w:eastAsia="宋体" w:cs="宋体"/>
          <w:color w:val="auto"/>
          <w:sz w:val="24"/>
          <w:szCs w:val="24"/>
          <w:highlight w:val="none"/>
        </w:rPr>
        <w:t>3.2 咨询人的工作要求</w:t>
      </w:r>
      <w:bookmarkEnd w:id="206"/>
      <w:bookmarkEnd w:id="207"/>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3.2.1 咨询人向委托人提供有关资料的时间：</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合同签订后10日内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ageBreakBefore w:val="0"/>
        <w:widowControl/>
        <w:kinsoku/>
        <w:wordWrap/>
        <w:overflowPunct/>
        <w:topLinePunct w:val="0"/>
        <w:autoSpaceDE/>
        <w:autoSpaceDN/>
        <w:bidi w:val="0"/>
        <w:adjustRightInd/>
        <w:snapToGrid/>
        <w:spacing w:line="360" w:lineRule="exact"/>
        <w:ind w:firstLine="480" w:firstLineChars="200"/>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咨询人向委托人提供的资料还包括：</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3.2.2 咨询人向委托人提供咨询成果文件的名称、组成、时间、份数及质</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量标准：</w:t>
      </w:r>
      <w:r>
        <w:rPr>
          <w:rFonts w:hint="eastAsia" w:ascii="宋体" w:hAnsi="宋体" w:eastAsia="宋体" w:cs="宋体"/>
          <w:color w:val="auto"/>
          <w:sz w:val="24"/>
          <w:szCs w:val="24"/>
          <w:highlight w:val="none"/>
          <w:lang w:val="en-US" w:eastAsia="zh-CN"/>
        </w:rPr>
        <w:t>合同签订后10日内提交书面</w:t>
      </w:r>
      <w:r>
        <w:rPr>
          <w:rFonts w:hint="eastAsia" w:ascii="宋体" w:hAnsi="宋体" w:eastAsia="宋体" w:cs="宋体"/>
          <w:b w:val="0"/>
          <w:bCs w:val="0"/>
          <w:color w:val="auto"/>
          <w:sz w:val="24"/>
          <w:szCs w:val="24"/>
          <w:highlight w:val="none"/>
          <w:u w:val="none"/>
          <w:lang w:val="en-US" w:eastAsia="zh-CN"/>
        </w:rPr>
        <w:t>最高投标限价编制文件5份、工程量清单编制文件5份、对应电子文档各1份，质量满足国家、行业现行规定标准及本合同相关约定</w:t>
      </w:r>
      <w:r>
        <w:rPr>
          <w:rFonts w:hint="eastAsia" w:ascii="宋体" w:hAnsi="宋体" w:eastAsia="宋体" w:cs="宋体"/>
          <w:color w:val="auto"/>
          <w:sz w:val="24"/>
          <w:szCs w:val="24"/>
          <w:highlight w:val="none"/>
        </w:rPr>
        <w:t>。</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3.2.4 咨询人应在收到委托人以书面形式提出的建议或者异议后</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日内给予书面答复。</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208" w:name="_Toc16179"/>
      <w:bookmarkStart w:id="209" w:name="_Toc2078"/>
      <w:bookmarkStart w:id="210" w:name="OLE_LINK1"/>
      <w:r>
        <w:rPr>
          <w:rFonts w:hint="eastAsia" w:ascii="宋体" w:hAnsi="宋体" w:eastAsia="宋体" w:cs="宋体"/>
          <w:color w:val="auto"/>
          <w:sz w:val="24"/>
          <w:szCs w:val="24"/>
          <w:highlight w:val="none"/>
        </w:rPr>
        <w:t>3.3 咨询人的工作依据</w:t>
      </w:r>
      <w:bookmarkEnd w:id="208"/>
      <w:bookmarkEnd w:id="209"/>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经双方协商，本合同约定的造价咨询服务适用的技术标准、规范、定额等</w:t>
      </w:r>
    </w:p>
    <w:p>
      <w:pPr>
        <w:pageBreakBefore w:val="0"/>
        <w:widowControl/>
        <w:kinsoku/>
        <w:wordWrap/>
        <w:overflowPunct/>
        <w:topLinePunct w:val="0"/>
        <w:autoSpaceDE/>
        <w:autoSpaceDN/>
        <w:bidi w:val="0"/>
        <w:adjustRightInd/>
        <w:snapToGrid/>
        <w:spacing w:line="360" w:lineRule="exact"/>
        <w:jc w:val="both"/>
        <w:textAlignment w:val="top"/>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工作依据为：</w:t>
      </w:r>
      <w:r>
        <w:rPr>
          <w:rFonts w:hint="eastAsia" w:ascii="宋体" w:hAnsi="宋体" w:eastAsia="宋体" w:cs="宋体"/>
          <w:color w:val="auto"/>
          <w:sz w:val="24"/>
          <w:szCs w:val="24"/>
          <w:highlight w:val="none"/>
          <w:u w:val="single"/>
        </w:rPr>
        <w:t>《建设工程工程量清单计价规范》（GB50500-2013）及配套相关专业工程的工程量计算规范</w:t>
      </w:r>
      <w:r>
        <w:rPr>
          <w:rFonts w:hint="eastAsia" w:ascii="宋体" w:hAnsi="宋体" w:eastAsia="宋体" w:cs="宋体"/>
          <w:color w:val="auto"/>
          <w:sz w:val="24"/>
          <w:szCs w:val="24"/>
          <w:highlight w:val="none"/>
          <w:u w:val="single"/>
          <w:lang w:eastAsia="zh-CN"/>
        </w:rPr>
        <w:t>、2020 年《四川省建设工程工程量清单计价定额》及相关配套文件、《成都市建设工程造价信息》（</w:t>
      </w:r>
      <w:r>
        <w:rPr>
          <w:rFonts w:hint="eastAsia" w:ascii="宋体" w:hAnsi="宋体" w:eastAsia="宋体" w:cs="宋体"/>
          <w:color w:val="auto"/>
          <w:sz w:val="24"/>
          <w:szCs w:val="24"/>
          <w:highlight w:val="none"/>
          <w:u w:val="single"/>
          <w:lang w:val="en-US" w:eastAsia="zh-CN"/>
        </w:rPr>
        <w:t>最新版</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建设项目计概算编审规程</w:t>
      </w:r>
      <w:r>
        <w:rPr>
          <w:rFonts w:hint="eastAsia" w:ascii="宋体" w:hAnsi="宋体" w:eastAsia="宋体" w:cs="宋体"/>
          <w:color w:val="auto"/>
          <w:sz w:val="24"/>
          <w:szCs w:val="24"/>
          <w:highlight w:val="none"/>
          <w:u w:val="single"/>
          <w:lang w:eastAsia="zh-CN"/>
        </w:rPr>
        <w:t>》（</w:t>
      </w:r>
      <w:bookmarkStart w:id="211" w:name="OLE_LINK2"/>
      <w:r>
        <w:rPr>
          <w:rFonts w:hint="eastAsia" w:ascii="宋体" w:hAnsi="宋体" w:eastAsia="宋体" w:cs="宋体"/>
          <w:color w:val="auto"/>
          <w:sz w:val="24"/>
          <w:szCs w:val="24"/>
          <w:highlight w:val="none"/>
          <w:u w:val="single"/>
          <w:lang w:val="en-US" w:eastAsia="zh-CN"/>
        </w:rPr>
        <w:t>CECA/GC 2-2015</w:t>
      </w:r>
      <w:bookmarkEnd w:id="211"/>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以及与建设工程有关的标准、规范、技术资料。</w:t>
      </w:r>
    </w:p>
    <w:bookmarkEnd w:id="210"/>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212" w:name="_Toc3313"/>
      <w:bookmarkStart w:id="213" w:name="_Toc3253"/>
      <w:r>
        <w:rPr>
          <w:rFonts w:hint="eastAsia" w:ascii="宋体" w:hAnsi="宋体" w:eastAsia="宋体" w:cs="宋体"/>
          <w:color w:val="auto"/>
          <w:sz w:val="24"/>
          <w:szCs w:val="24"/>
          <w:highlight w:val="none"/>
        </w:rPr>
        <w:t>3.4 使用委托人房屋及设备的返还</w:t>
      </w:r>
      <w:bookmarkEnd w:id="212"/>
      <w:bookmarkEnd w:id="213"/>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咨询人应在本合同终止后</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日内移交委托人提供的房屋及设备，移交的方式为</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pPr>
        <w:pStyle w:val="3"/>
        <w:pageBreakBefore w:val="0"/>
        <w:widowControl/>
        <w:kinsoku/>
        <w:wordWrap/>
        <w:overflowPunct/>
        <w:topLinePunct w:val="0"/>
        <w:autoSpaceDE/>
        <w:autoSpaceDN/>
        <w:bidi w:val="0"/>
        <w:adjustRightInd/>
        <w:snapToGrid/>
        <w:spacing w:line="360" w:lineRule="exact"/>
        <w:ind w:left="420" w:leftChars="200"/>
        <w:rPr>
          <w:rStyle w:val="36"/>
          <w:rFonts w:hint="eastAsia" w:ascii="宋体" w:hAnsi="宋体" w:eastAsia="宋体" w:cs="宋体"/>
          <w:b/>
          <w:bCs/>
          <w:color w:val="auto"/>
          <w:sz w:val="24"/>
          <w:szCs w:val="24"/>
          <w:highlight w:val="none"/>
        </w:rPr>
      </w:pPr>
      <w:bookmarkStart w:id="214" w:name="_Toc22107"/>
      <w:bookmarkStart w:id="215" w:name="_Toc22455"/>
      <w:r>
        <w:rPr>
          <w:rFonts w:hint="eastAsia" w:ascii="宋体" w:hAnsi="宋体" w:eastAsia="宋体" w:cs="宋体"/>
          <w:b/>
          <w:bCs/>
          <w:color w:val="auto"/>
          <w:sz w:val="24"/>
          <w:szCs w:val="24"/>
          <w:highlight w:val="none"/>
        </w:rPr>
        <w:t>4. 违约责任</w:t>
      </w:r>
      <w:bookmarkEnd w:id="214"/>
      <w:bookmarkEnd w:id="215"/>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216" w:name="_Toc10970"/>
      <w:bookmarkStart w:id="217" w:name="_Toc18709"/>
      <w:r>
        <w:rPr>
          <w:rFonts w:hint="eastAsia" w:ascii="宋体" w:hAnsi="宋体" w:eastAsia="宋体" w:cs="宋体"/>
          <w:color w:val="auto"/>
          <w:sz w:val="24"/>
          <w:szCs w:val="24"/>
          <w:highlight w:val="none"/>
        </w:rPr>
        <w:t>4.1 委托人的违约责任</w:t>
      </w:r>
      <w:bookmarkEnd w:id="216"/>
      <w:bookmarkEnd w:id="217"/>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4.1.1 委托人违约金的计算及支付方法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4.1.2 委托人赔偿金额按下列方法确定并支付：</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4.1.3 委托人逾期付款利息按下列方法计算并支付：</w:t>
      </w:r>
      <w:r>
        <w:rPr>
          <w:rFonts w:hint="eastAsia" w:ascii="宋体" w:hAnsi="宋体" w:eastAsia="宋体" w:cs="宋体"/>
          <w:color w:val="auto"/>
          <w:sz w:val="24"/>
          <w:szCs w:val="24"/>
          <w:highlight w:val="none"/>
          <w:u w:val="single"/>
        </w:rPr>
        <w:t xml:space="preserve">无 </w:t>
      </w:r>
      <w:r>
        <w:rPr>
          <w:rFonts w:hint="eastAsia" w:ascii="宋体" w:hAnsi="宋体" w:eastAsia="宋体" w:cs="宋体"/>
          <w:color w:val="auto"/>
          <w:sz w:val="24"/>
          <w:szCs w:val="24"/>
          <w:highlight w:val="none"/>
        </w:rPr>
        <w:t>。</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218" w:name="_Toc12794"/>
      <w:bookmarkStart w:id="219" w:name="_Toc30425"/>
      <w:r>
        <w:rPr>
          <w:rFonts w:hint="eastAsia" w:ascii="宋体" w:hAnsi="宋体" w:eastAsia="宋体" w:cs="宋体"/>
          <w:color w:val="auto"/>
          <w:sz w:val="24"/>
          <w:szCs w:val="24"/>
          <w:highlight w:val="none"/>
        </w:rPr>
        <w:t>4.2 咨询人的违约责任</w:t>
      </w:r>
      <w:bookmarkEnd w:id="218"/>
      <w:bookmarkEnd w:id="219"/>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4.2.1 咨询人违约金的计算及支付方法：</w:t>
      </w:r>
      <w:r>
        <w:rPr>
          <w:rFonts w:hint="eastAsia" w:ascii="宋体" w:hAnsi="宋体" w:eastAsia="宋体" w:cs="宋体"/>
          <w:color w:val="auto"/>
          <w:sz w:val="24"/>
          <w:szCs w:val="24"/>
          <w:highlight w:val="none"/>
          <w:lang w:val="en-US" w:eastAsia="zh-CN"/>
        </w:rPr>
        <w:t>按委托人要求的期限提交咨询成果，每逾期一天按100元计取，在支付合同款时扣除。逾期累计达7天的，委托人有权单方面解除合同和拒付合同费用，咨询人应按合同</w:t>
      </w:r>
      <w:r>
        <w:rPr>
          <w:rFonts w:hint="eastAsia" w:ascii="宋体" w:hAnsi="宋体" w:cs="宋体"/>
          <w:color w:val="auto"/>
          <w:sz w:val="24"/>
          <w:szCs w:val="24"/>
          <w:highlight w:val="none"/>
          <w:lang w:val="en-US" w:eastAsia="zh-CN"/>
        </w:rPr>
        <w:t>总额</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u w:val="single"/>
          <w:lang w:val="en-US" w:eastAsia="zh-CN"/>
        </w:rPr>
        <w:t>20%支付违约金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ageBreakBefore w:val="0"/>
        <w:widowControl/>
        <w:kinsoku/>
        <w:wordWrap/>
        <w:overflowPunct/>
        <w:topLinePunct w:val="0"/>
        <w:autoSpaceDE/>
        <w:autoSpaceDN/>
        <w:bidi w:val="0"/>
        <w:adjustRightInd/>
        <w:snapToGrid/>
        <w:spacing w:line="360" w:lineRule="exact"/>
        <w:ind w:firstLine="480"/>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 咨询人</w:t>
      </w:r>
      <w:r>
        <w:rPr>
          <w:rFonts w:hint="eastAsia" w:ascii="宋体" w:hAnsi="宋体" w:eastAsia="宋体" w:cs="宋体"/>
          <w:color w:val="auto"/>
          <w:sz w:val="24"/>
          <w:szCs w:val="24"/>
          <w:highlight w:val="none"/>
          <w:lang w:val="en-US" w:eastAsia="zh-CN"/>
        </w:rPr>
        <w:t>对咨询成果报告的真实性、合法性、完整性、正确性等质量负责，如咨询成果存在质量问题给委托人造成损失的，咨询人应当赔偿给委托人造成的损失</w:t>
      </w:r>
      <w:r>
        <w:rPr>
          <w:rFonts w:hint="eastAsia" w:ascii="宋体" w:hAnsi="宋体" w:eastAsia="宋体" w:cs="宋体"/>
          <w:color w:val="auto"/>
          <w:sz w:val="24"/>
          <w:szCs w:val="24"/>
          <w:highlight w:val="none"/>
        </w:rPr>
        <w:t>。</w:t>
      </w:r>
    </w:p>
    <w:p>
      <w:pPr>
        <w:pageBreakBefore w:val="0"/>
        <w:widowControl/>
        <w:kinsoku/>
        <w:wordWrap/>
        <w:overflowPunct/>
        <w:topLinePunct w:val="0"/>
        <w:autoSpaceDE/>
        <w:autoSpaceDN/>
        <w:bidi w:val="0"/>
        <w:adjustRightInd/>
        <w:snapToGrid/>
        <w:spacing w:line="360" w:lineRule="exact"/>
        <w:ind w:firstLine="480"/>
        <w:jc w:val="both"/>
        <w:textAlignment w:val="top"/>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4.2.3 咨询人在咨询服务过程中侵害任何第三方的知识产权及其他合法权益的，由咨询人自行承担全部责任，委托人因此承担赔偿责任或遭受经济损失的，咨询人应当向委托人承担全部赔偿责任，并向委托人承担本合同总额</w:t>
      </w:r>
      <w:r>
        <w:rPr>
          <w:rFonts w:hint="eastAsia" w:ascii="宋体" w:hAnsi="宋体" w:eastAsia="宋体" w:cs="宋体"/>
          <w:color w:val="auto"/>
          <w:sz w:val="24"/>
          <w:szCs w:val="24"/>
          <w:highlight w:val="none"/>
          <w:u w:val="single"/>
          <w:lang w:val="en-US" w:eastAsia="zh-CN"/>
        </w:rPr>
        <w:t>20%的违约金</w:t>
      </w:r>
      <w:r>
        <w:rPr>
          <w:rFonts w:hint="eastAsia" w:ascii="宋体" w:hAnsi="宋体" w:eastAsia="宋体" w:cs="宋体"/>
          <w:color w:val="auto"/>
          <w:sz w:val="24"/>
          <w:szCs w:val="24"/>
          <w:highlight w:val="none"/>
          <w:lang w:val="en-US" w:eastAsia="zh-CN"/>
        </w:rPr>
        <w:t>，委托人保留解除合同的权利。</w:t>
      </w:r>
    </w:p>
    <w:p>
      <w:pPr>
        <w:pStyle w:val="3"/>
        <w:pageBreakBefore w:val="0"/>
        <w:widowControl/>
        <w:numPr>
          <w:ilvl w:val="0"/>
          <w:numId w:val="5"/>
        </w:numPr>
        <w:kinsoku/>
        <w:wordWrap/>
        <w:overflowPunct/>
        <w:topLinePunct w:val="0"/>
        <w:autoSpaceDE/>
        <w:autoSpaceDN/>
        <w:bidi w:val="0"/>
        <w:adjustRightInd/>
        <w:snapToGrid/>
        <w:spacing w:line="360" w:lineRule="exact"/>
        <w:ind w:left="420" w:leftChars="200"/>
        <w:rPr>
          <w:rFonts w:hint="eastAsia" w:ascii="宋体" w:hAnsi="宋体" w:eastAsia="宋体" w:cs="宋体"/>
          <w:b/>
          <w:bCs/>
          <w:color w:val="auto"/>
          <w:sz w:val="24"/>
          <w:szCs w:val="24"/>
          <w:highlight w:val="none"/>
        </w:rPr>
      </w:pPr>
      <w:bookmarkStart w:id="220" w:name="_Toc1015"/>
      <w:bookmarkStart w:id="221" w:name="_Toc17191"/>
      <w:r>
        <w:rPr>
          <w:rFonts w:hint="eastAsia" w:ascii="宋体" w:hAnsi="宋体" w:eastAsia="宋体" w:cs="宋体"/>
          <w:b/>
          <w:bCs/>
          <w:color w:val="auto"/>
          <w:sz w:val="24"/>
          <w:szCs w:val="24"/>
          <w:highlight w:val="none"/>
        </w:rPr>
        <w:t>支付</w:t>
      </w:r>
      <w:bookmarkEnd w:id="220"/>
      <w:bookmarkEnd w:id="221"/>
    </w:p>
    <w:p>
      <w:pPr>
        <w:pStyle w:val="4"/>
        <w:pageBreakBefore w:val="0"/>
        <w:widowControl/>
        <w:kinsoku/>
        <w:wordWrap/>
        <w:overflowPunct/>
        <w:topLinePunct w:val="0"/>
        <w:autoSpaceDE/>
        <w:autoSpaceDN/>
        <w:bidi w:val="0"/>
        <w:adjustRightInd/>
        <w:snapToGrid/>
        <w:spacing w:line="360" w:lineRule="exact"/>
        <w:ind w:left="420" w:leftChars="200"/>
        <w:rPr>
          <w:rStyle w:val="43"/>
          <w:rFonts w:hint="eastAsia" w:ascii="宋体" w:hAnsi="宋体" w:eastAsia="宋体" w:cs="宋体"/>
          <w:b w:val="0"/>
          <w:bCs w:val="0"/>
          <w:color w:val="auto"/>
          <w:sz w:val="24"/>
          <w:szCs w:val="24"/>
          <w:highlight w:val="none"/>
        </w:rPr>
      </w:pPr>
      <w:bookmarkStart w:id="222" w:name="_Toc14424"/>
      <w:bookmarkStart w:id="223" w:name="_Toc3041"/>
      <w:r>
        <w:rPr>
          <w:rFonts w:hint="eastAsia" w:ascii="宋体" w:hAnsi="宋体" w:eastAsia="宋体" w:cs="宋体"/>
          <w:color w:val="auto"/>
          <w:sz w:val="24"/>
          <w:szCs w:val="24"/>
          <w:highlight w:val="none"/>
        </w:rPr>
        <w:t>5.1 支付货币</w:t>
      </w:r>
      <w:bookmarkEnd w:id="222"/>
      <w:bookmarkEnd w:id="223"/>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币种为</w:t>
      </w:r>
      <w:r>
        <w:rPr>
          <w:rFonts w:hint="eastAsia" w:ascii="宋体" w:hAnsi="宋体" w:eastAsia="宋体" w:cs="宋体"/>
          <w:color w:val="auto"/>
          <w:sz w:val="24"/>
          <w:szCs w:val="24"/>
          <w:highlight w:val="none"/>
          <w:u w:val="single"/>
        </w:rPr>
        <w:t>：人民币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，汇率为：</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pPr>
        <w:pStyle w:val="4"/>
        <w:pageBreakBefore w:val="0"/>
        <w:widowControl/>
        <w:kinsoku/>
        <w:wordWrap/>
        <w:overflowPunct/>
        <w:topLinePunct w:val="0"/>
        <w:autoSpaceDE/>
        <w:autoSpaceDN/>
        <w:bidi w:val="0"/>
        <w:adjustRightInd/>
        <w:snapToGrid/>
        <w:spacing w:line="360" w:lineRule="exact"/>
        <w:ind w:left="420" w:leftChars="200"/>
        <w:rPr>
          <w:rStyle w:val="43"/>
          <w:rFonts w:hint="eastAsia" w:ascii="宋体" w:hAnsi="宋体" w:eastAsia="宋体" w:cs="宋体"/>
          <w:b w:val="0"/>
          <w:bCs w:val="0"/>
          <w:color w:val="auto"/>
          <w:sz w:val="24"/>
          <w:szCs w:val="24"/>
          <w:highlight w:val="none"/>
        </w:rPr>
      </w:pPr>
      <w:bookmarkStart w:id="224" w:name="_Toc23923"/>
      <w:bookmarkStart w:id="225" w:name="_Toc15069"/>
      <w:r>
        <w:rPr>
          <w:rFonts w:hint="eastAsia" w:ascii="宋体" w:hAnsi="宋体" w:eastAsia="宋体" w:cs="宋体"/>
          <w:color w:val="auto"/>
          <w:sz w:val="24"/>
          <w:szCs w:val="24"/>
          <w:highlight w:val="none"/>
        </w:rPr>
        <w:t>5.2 支付申请</w:t>
      </w:r>
      <w:bookmarkEnd w:id="224"/>
      <w:bookmarkEnd w:id="225"/>
    </w:p>
    <w:p>
      <w:pPr>
        <w:pageBreakBefore w:val="0"/>
        <w:widowControl/>
        <w:kinsoku/>
        <w:wordWrap/>
        <w:overflowPunct/>
        <w:topLinePunct w:val="0"/>
        <w:autoSpaceDE/>
        <w:autoSpaceDN/>
        <w:bidi w:val="0"/>
        <w:adjustRightInd/>
        <w:snapToGrid/>
        <w:spacing w:line="360" w:lineRule="exact"/>
        <w:ind w:firstLine="480" w:firstLineChars="200"/>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咨询人应在本合同约定的每次应付款日期</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5个工作</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日前，向委托人提交支付申请书。</w:t>
      </w:r>
    </w:p>
    <w:p>
      <w:pPr>
        <w:pStyle w:val="4"/>
        <w:pageBreakBefore w:val="0"/>
        <w:widowControl/>
        <w:kinsoku/>
        <w:wordWrap/>
        <w:overflowPunct/>
        <w:topLinePunct w:val="0"/>
        <w:autoSpaceDE/>
        <w:autoSpaceDN/>
        <w:bidi w:val="0"/>
        <w:adjustRightInd/>
        <w:snapToGrid/>
        <w:spacing w:line="360" w:lineRule="exact"/>
        <w:ind w:left="420" w:leftChars="200"/>
        <w:rPr>
          <w:rStyle w:val="43"/>
          <w:rFonts w:hint="eastAsia" w:ascii="宋体" w:hAnsi="宋体" w:eastAsia="宋体" w:cs="宋体"/>
          <w:b w:val="0"/>
          <w:bCs w:val="0"/>
          <w:color w:val="auto"/>
          <w:sz w:val="24"/>
          <w:szCs w:val="24"/>
          <w:highlight w:val="none"/>
        </w:rPr>
      </w:pPr>
      <w:bookmarkStart w:id="226" w:name="_Toc1903"/>
      <w:bookmarkStart w:id="227" w:name="_Toc14404"/>
      <w:r>
        <w:rPr>
          <w:rFonts w:hint="eastAsia" w:ascii="宋体" w:hAnsi="宋体" w:eastAsia="宋体" w:cs="宋体"/>
          <w:color w:val="auto"/>
          <w:sz w:val="24"/>
          <w:szCs w:val="24"/>
          <w:highlight w:val="none"/>
        </w:rPr>
        <w:t>5.3 支付酬金</w:t>
      </w:r>
      <w:bookmarkEnd w:id="226"/>
      <w:bookmarkEnd w:id="227"/>
    </w:p>
    <w:p>
      <w:pPr>
        <w:pageBreakBefore w:val="0"/>
        <w:widowControl/>
        <w:numPr>
          <w:ilvl w:val="-1"/>
          <w:numId w:val="0"/>
        </w:numPr>
        <w:kinsoku/>
        <w:wordWrap/>
        <w:overflowPunct/>
        <w:topLinePunct w:val="0"/>
        <w:autoSpaceDE/>
        <w:autoSpaceDN/>
        <w:bidi w:val="0"/>
        <w:adjustRightInd/>
        <w:snapToGrid/>
        <w:spacing w:line="360" w:lineRule="exact"/>
        <w:ind w:firstLine="464" w:firstLineChars="200"/>
        <w:jc w:val="both"/>
        <w:textAlignment w:val="top"/>
        <w:rPr>
          <w:rFonts w:hint="eastAsia" w:ascii="宋体" w:hAnsi="宋体" w:eastAsia="宋体" w:cs="宋体"/>
          <w:color w:val="auto"/>
          <w:sz w:val="24"/>
          <w:szCs w:val="24"/>
          <w:highlight w:val="none"/>
          <w:u w:val="single"/>
          <w:lang w:val="en-US" w:eastAsia="zh-CN"/>
        </w:rPr>
      </w:pPr>
      <w:bookmarkStart w:id="228" w:name="_Toc1943"/>
      <w:bookmarkStart w:id="229" w:name="_Toc17753"/>
      <w:r>
        <w:rPr>
          <w:rFonts w:hint="eastAsia" w:ascii="宋体" w:hAnsi="宋体" w:eastAsia="宋体" w:cs="宋体"/>
          <w:b w:val="0"/>
          <w:bCs w:val="0"/>
          <w:color w:val="auto"/>
          <w:spacing w:val="-4"/>
          <w:kern w:val="2"/>
          <w:sz w:val="24"/>
          <w:szCs w:val="24"/>
          <w:highlight w:val="none"/>
          <w:u w:val="none"/>
          <w:lang w:val="en-US" w:eastAsia="zh-CN" w:bidi="ar-SA"/>
        </w:rPr>
        <w:t>该项目包干价为</w:t>
      </w:r>
      <w:r>
        <w:rPr>
          <w:rFonts w:hint="eastAsia" w:ascii="宋体" w:hAnsi="宋体" w:eastAsia="宋体" w:cs="宋体"/>
          <w:b w:val="0"/>
          <w:bCs w:val="0"/>
          <w:color w:val="auto"/>
          <w:spacing w:val="-4"/>
          <w:kern w:val="2"/>
          <w:sz w:val="24"/>
          <w:szCs w:val="24"/>
          <w:highlight w:val="none"/>
          <w:u w:val="single"/>
          <w:lang w:val="en-US" w:eastAsia="zh-CN" w:bidi="ar-SA"/>
        </w:rPr>
        <w:t xml:space="preserve">     </w:t>
      </w:r>
      <w:r>
        <w:rPr>
          <w:rFonts w:hint="eastAsia" w:ascii="宋体" w:hAnsi="宋体" w:eastAsia="宋体" w:cs="宋体"/>
          <w:b w:val="0"/>
          <w:bCs w:val="0"/>
          <w:color w:val="auto"/>
          <w:spacing w:val="-4"/>
          <w:kern w:val="2"/>
          <w:sz w:val="24"/>
          <w:szCs w:val="24"/>
          <w:highlight w:val="none"/>
          <w:u w:val="none"/>
          <w:lang w:val="en-US" w:eastAsia="zh-CN" w:bidi="ar-SA"/>
        </w:rPr>
        <w:t>元（大写）</w:t>
      </w:r>
      <w:r>
        <w:rPr>
          <w:rFonts w:hint="eastAsia" w:ascii="宋体" w:hAnsi="宋体" w:eastAsia="宋体" w:cs="宋体"/>
          <w:b w:val="0"/>
          <w:bCs w:val="0"/>
          <w:color w:val="auto"/>
          <w:spacing w:val="-4"/>
          <w:kern w:val="2"/>
          <w:sz w:val="24"/>
          <w:szCs w:val="24"/>
          <w:highlight w:val="none"/>
          <w:u w:val="single"/>
          <w:lang w:val="en-US" w:eastAsia="zh-CN" w:bidi="ar-SA"/>
        </w:rPr>
        <w:t xml:space="preserve">   </w:t>
      </w:r>
      <w:r>
        <w:rPr>
          <w:rFonts w:hint="eastAsia" w:ascii="宋体" w:hAnsi="宋体" w:eastAsia="宋体" w:cs="宋体"/>
          <w:b/>
          <w:bCs w:val="0"/>
          <w:color w:val="auto"/>
          <w:kern w:val="0"/>
          <w:sz w:val="24"/>
          <w:szCs w:val="24"/>
          <w:highlight w:val="none"/>
          <w:u w:val="single"/>
          <w:lang w:val="en-US" w:eastAsia="zh-CN" w:bidi="ar-SA"/>
        </w:rPr>
        <w:t xml:space="preserve">  ；</w:t>
      </w:r>
      <w:r>
        <w:rPr>
          <w:rFonts w:hint="eastAsia" w:ascii="宋体" w:hAnsi="宋体" w:cs="宋体"/>
          <w:b w:val="0"/>
          <w:bCs w:val="0"/>
          <w:color w:val="auto"/>
          <w:spacing w:val="-4"/>
          <w:kern w:val="2"/>
          <w:sz w:val="24"/>
          <w:szCs w:val="24"/>
          <w:highlight w:val="none"/>
          <w:u w:val="none"/>
          <w:lang w:val="en-US" w:eastAsia="zh-CN" w:bidi="ar-SA"/>
        </w:rPr>
        <w:t>咨询人</w:t>
      </w:r>
      <w:r>
        <w:rPr>
          <w:rFonts w:hint="eastAsia" w:ascii="宋体" w:hAnsi="宋体" w:cs="宋体"/>
          <w:color w:val="auto"/>
          <w:spacing w:val="-4"/>
          <w:sz w:val="24"/>
          <w:highlight w:val="none"/>
        </w:rPr>
        <w:t>将</w:t>
      </w:r>
      <w:r>
        <w:rPr>
          <w:rFonts w:hint="eastAsia" w:ascii="宋体" w:hAnsi="宋体" w:cs="宋体"/>
          <w:color w:val="auto"/>
          <w:spacing w:val="-4"/>
          <w:sz w:val="24"/>
          <w:highlight w:val="none"/>
          <w:lang w:eastAsia="zh-CN"/>
        </w:rPr>
        <w:t>最高投标限价</w:t>
      </w:r>
      <w:r>
        <w:rPr>
          <w:rFonts w:hint="eastAsia" w:ascii="宋体" w:hAnsi="宋体" w:cs="宋体"/>
          <w:color w:val="auto"/>
          <w:spacing w:val="-4"/>
          <w:sz w:val="24"/>
          <w:highlight w:val="none"/>
        </w:rPr>
        <w:t>、工程量清单等工程造价咨询服务成果资料书面提交给</w:t>
      </w:r>
      <w:r>
        <w:rPr>
          <w:rFonts w:hint="eastAsia" w:ascii="宋体" w:hAnsi="宋体" w:cs="宋体"/>
          <w:color w:val="auto"/>
          <w:spacing w:val="-4"/>
          <w:sz w:val="24"/>
          <w:highlight w:val="none"/>
          <w:lang w:val="en-US" w:eastAsia="zh-CN"/>
        </w:rPr>
        <w:t>委托人10个工作日内</w:t>
      </w:r>
      <w:r>
        <w:rPr>
          <w:rFonts w:hint="eastAsia" w:ascii="宋体" w:hAnsi="宋体" w:cs="宋体"/>
          <w:color w:val="auto"/>
          <w:spacing w:val="-4"/>
          <w:sz w:val="24"/>
          <w:highlight w:val="none"/>
        </w:rPr>
        <w:t>，</w:t>
      </w:r>
      <w:r>
        <w:rPr>
          <w:rFonts w:hint="eastAsia" w:ascii="宋体" w:hAnsi="宋体" w:cs="宋体"/>
          <w:color w:val="auto"/>
          <w:spacing w:val="-4"/>
          <w:sz w:val="24"/>
          <w:highlight w:val="none"/>
          <w:lang w:val="en-US" w:eastAsia="zh-CN"/>
        </w:rPr>
        <w:t>委托人</w:t>
      </w:r>
      <w:r>
        <w:rPr>
          <w:rFonts w:hint="eastAsia" w:ascii="宋体" w:hAnsi="宋体" w:cs="宋体"/>
          <w:color w:val="auto"/>
          <w:spacing w:val="-4"/>
          <w:sz w:val="24"/>
          <w:highlight w:val="none"/>
        </w:rPr>
        <w:t>支付</w:t>
      </w:r>
      <w:r>
        <w:rPr>
          <w:rFonts w:hint="eastAsia" w:ascii="宋体" w:hAnsi="宋体" w:cs="宋体"/>
          <w:color w:val="auto"/>
          <w:spacing w:val="-4"/>
          <w:sz w:val="24"/>
          <w:highlight w:val="none"/>
          <w:lang w:val="en-US" w:eastAsia="zh-CN"/>
        </w:rPr>
        <w:t>至合同金额的80%；新良大厦1-4号电梯更新改造项目结算审核完成后10个工作日内，委托人支付至合同金额的100%</w:t>
      </w:r>
      <w:r>
        <w:rPr>
          <w:rFonts w:hint="eastAsia" w:ascii="宋体" w:hAnsi="宋体" w:cs="宋体"/>
          <w:color w:val="auto"/>
          <w:spacing w:val="-4"/>
          <w:sz w:val="24"/>
          <w:highlight w:val="none"/>
        </w:rPr>
        <w:t>。</w:t>
      </w:r>
    </w:p>
    <w:p>
      <w:pPr>
        <w:pageBreakBefore w:val="0"/>
        <w:widowControl/>
        <w:numPr>
          <w:ilvl w:val="-1"/>
          <w:numId w:val="0"/>
        </w:numPr>
        <w:kinsoku/>
        <w:wordWrap/>
        <w:overflowPunct/>
        <w:topLinePunct w:val="0"/>
        <w:autoSpaceDE/>
        <w:autoSpaceDN/>
        <w:bidi w:val="0"/>
        <w:adjustRightInd/>
        <w:snapToGrid/>
        <w:spacing w:line="360" w:lineRule="exact"/>
        <w:ind w:firstLine="480" w:firstLineChars="200"/>
        <w:jc w:val="both"/>
        <w:textAlignment w:val="top"/>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委托人支付酬金前，咨询人应</w:t>
      </w:r>
      <w:r>
        <w:rPr>
          <w:rFonts w:hint="eastAsia" w:ascii="宋体" w:hAnsi="宋体" w:cs="宋体"/>
          <w:color w:val="auto"/>
          <w:sz w:val="24"/>
          <w:szCs w:val="24"/>
          <w:highlight w:val="none"/>
          <w:u w:val="single"/>
          <w:lang w:val="en-US" w:eastAsia="zh-CN"/>
        </w:rPr>
        <w:t>一次性</w:t>
      </w:r>
      <w:r>
        <w:rPr>
          <w:rFonts w:hint="eastAsia" w:ascii="宋体" w:hAnsi="宋体" w:eastAsia="宋体" w:cs="宋体"/>
          <w:color w:val="auto"/>
          <w:sz w:val="24"/>
          <w:szCs w:val="24"/>
          <w:highlight w:val="none"/>
          <w:u w:val="single"/>
          <w:lang w:val="en-US" w:eastAsia="zh-CN"/>
        </w:rPr>
        <w:t>提供</w:t>
      </w:r>
      <w:r>
        <w:rPr>
          <w:rFonts w:hint="eastAsia" w:ascii="宋体" w:hAnsi="宋体" w:cs="宋体"/>
          <w:color w:val="auto"/>
          <w:sz w:val="24"/>
          <w:szCs w:val="24"/>
          <w:highlight w:val="none"/>
          <w:u w:val="single"/>
          <w:lang w:val="en-US" w:eastAsia="zh-CN"/>
        </w:rPr>
        <w:t>本合同约定金额的全额</w:t>
      </w:r>
      <w:r>
        <w:rPr>
          <w:rFonts w:hint="eastAsia" w:ascii="宋体" w:hAnsi="宋体" w:eastAsia="宋体" w:cs="宋体"/>
          <w:color w:val="auto"/>
          <w:sz w:val="24"/>
          <w:szCs w:val="24"/>
          <w:highlight w:val="none"/>
          <w:u w:val="single"/>
          <w:lang w:val="en-US" w:eastAsia="zh-CN"/>
        </w:rPr>
        <w:t>合法、合规增值税专用发票，否则委托人有权不支付价款并不因此而承担违约责任，咨询方不得停止合同项下义务的履行。</w:t>
      </w:r>
      <w:bookmarkStart w:id="255" w:name="_GoBack"/>
      <w:bookmarkEnd w:id="255"/>
    </w:p>
    <w:p>
      <w:pPr>
        <w:pageBreakBefore w:val="0"/>
        <w:widowControl/>
        <w:numPr>
          <w:ilvl w:val="-1"/>
          <w:numId w:val="0"/>
        </w:numPr>
        <w:kinsoku/>
        <w:wordWrap/>
        <w:overflowPunct/>
        <w:topLinePunct w:val="0"/>
        <w:autoSpaceDE/>
        <w:autoSpaceDN/>
        <w:bidi w:val="0"/>
        <w:adjustRightInd/>
        <w:snapToGrid/>
        <w:spacing w:line="360" w:lineRule="exact"/>
        <w:ind w:firstLine="480" w:firstLineChars="200"/>
        <w:jc w:val="both"/>
        <w:textAlignment w:val="top"/>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支付方式：银行转账。</w:t>
      </w:r>
    </w:p>
    <w:p>
      <w:pPr>
        <w:pageBreakBefore w:val="0"/>
        <w:widowControl/>
        <w:kinsoku/>
        <w:wordWrap/>
        <w:overflowPunct/>
        <w:topLinePunct w:val="0"/>
        <w:autoSpaceDE/>
        <w:autoSpaceDN/>
        <w:bidi w:val="0"/>
        <w:adjustRightInd/>
        <w:snapToGrid/>
        <w:spacing w:line="360" w:lineRule="exact"/>
        <w:ind w:firstLine="480"/>
        <w:jc w:val="both"/>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 合同变更、解除与终止</w:t>
      </w:r>
      <w:bookmarkEnd w:id="228"/>
      <w:bookmarkEnd w:id="229"/>
    </w:p>
    <w:p>
      <w:pPr>
        <w:pStyle w:val="4"/>
        <w:pageBreakBefore w:val="0"/>
        <w:widowControl/>
        <w:kinsoku/>
        <w:wordWrap/>
        <w:overflowPunct/>
        <w:topLinePunct w:val="0"/>
        <w:autoSpaceDE/>
        <w:autoSpaceDN/>
        <w:bidi w:val="0"/>
        <w:adjustRightInd/>
        <w:snapToGrid/>
        <w:spacing w:line="360" w:lineRule="exact"/>
        <w:ind w:firstLine="482" w:firstLineChars="200"/>
        <w:rPr>
          <w:rStyle w:val="43"/>
          <w:rFonts w:hint="eastAsia" w:ascii="宋体" w:hAnsi="宋体" w:eastAsia="宋体" w:cs="宋体"/>
          <w:b w:val="0"/>
          <w:bCs w:val="0"/>
          <w:color w:val="auto"/>
          <w:sz w:val="24"/>
          <w:szCs w:val="24"/>
          <w:highlight w:val="none"/>
        </w:rPr>
      </w:pPr>
      <w:bookmarkStart w:id="230" w:name="_Toc15925"/>
      <w:bookmarkStart w:id="231" w:name="_Toc4525"/>
      <w:r>
        <w:rPr>
          <w:rFonts w:hint="eastAsia" w:ascii="宋体" w:hAnsi="宋体" w:eastAsia="宋体" w:cs="宋体"/>
          <w:color w:val="auto"/>
          <w:sz w:val="24"/>
          <w:szCs w:val="24"/>
          <w:highlight w:val="none"/>
        </w:rPr>
        <w:t>6.1 合同变更</w:t>
      </w:r>
      <w:bookmarkEnd w:id="230"/>
      <w:bookmarkEnd w:id="231"/>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6.1.2 除不可抗力外，因非咨询人原因导致本合同履行期限延长、内容增</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加时，附加工作酬金按下列方法确定：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双方另行协商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6.1.4 因工程规模、服务范围及内容的变化等导致咨询人的工作量增减</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时，服务酬金的调整方法：</w:t>
      </w:r>
      <w:r>
        <w:rPr>
          <w:rFonts w:hint="eastAsia" w:ascii="宋体" w:hAnsi="宋体" w:eastAsia="宋体" w:cs="宋体"/>
          <w:color w:val="auto"/>
          <w:sz w:val="24"/>
          <w:szCs w:val="24"/>
          <w:highlight w:val="none"/>
          <w:u w:val="single"/>
          <w:lang w:val="en-US" w:eastAsia="zh-CN"/>
        </w:rPr>
        <w:t xml:space="preserve">双方另行协商 </w:t>
      </w:r>
      <w:r>
        <w:rPr>
          <w:rFonts w:hint="eastAsia" w:ascii="宋体" w:hAnsi="宋体" w:eastAsia="宋体" w:cs="宋体"/>
          <w:color w:val="auto"/>
          <w:sz w:val="24"/>
          <w:szCs w:val="24"/>
          <w:highlight w:val="none"/>
        </w:rPr>
        <w:t>。</w:t>
      </w:r>
    </w:p>
    <w:p>
      <w:pPr>
        <w:pStyle w:val="4"/>
        <w:pageBreakBefore w:val="0"/>
        <w:widowControl/>
        <w:kinsoku/>
        <w:wordWrap/>
        <w:overflowPunct/>
        <w:topLinePunct w:val="0"/>
        <w:autoSpaceDE/>
        <w:autoSpaceDN/>
        <w:bidi w:val="0"/>
        <w:adjustRightInd/>
        <w:snapToGrid/>
        <w:spacing w:line="360" w:lineRule="exact"/>
        <w:ind w:left="420" w:leftChars="200"/>
        <w:rPr>
          <w:rStyle w:val="36"/>
          <w:rFonts w:hint="eastAsia" w:ascii="宋体" w:hAnsi="宋体" w:eastAsia="宋体" w:cs="宋体"/>
          <w:b w:val="0"/>
          <w:bCs w:val="0"/>
          <w:color w:val="auto"/>
          <w:sz w:val="24"/>
          <w:szCs w:val="24"/>
          <w:highlight w:val="none"/>
        </w:rPr>
      </w:pPr>
      <w:bookmarkStart w:id="232" w:name="_Toc1963"/>
      <w:bookmarkStart w:id="233" w:name="_Toc8391"/>
      <w:r>
        <w:rPr>
          <w:rFonts w:hint="eastAsia" w:ascii="宋体" w:hAnsi="宋体" w:eastAsia="宋体" w:cs="宋体"/>
          <w:color w:val="auto"/>
          <w:sz w:val="24"/>
          <w:szCs w:val="24"/>
          <w:highlight w:val="none"/>
        </w:rPr>
        <w:t>6.2 合同解除</w:t>
      </w:r>
      <w:bookmarkEnd w:id="232"/>
      <w:bookmarkEnd w:id="233"/>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6.2.2 双方约定解除合同的条件还包括：</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 xml:space="preserve"> 。</w:t>
      </w:r>
    </w:p>
    <w:p>
      <w:pPr>
        <w:pageBreakBefore w:val="0"/>
        <w:widowControl/>
        <w:kinsoku/>
        <w:wordWrap/>
        <w:overflowPunct/>
        <w:topLinePunct w:val="0"/>
        <w:autoSpaceDE/>
        <w:autoSpaceDN/>
        <w:bidi w:val="0"/>
        <w:adjustRightInd/>
        <w:snapToGrid/>
        <w:spacing w:line="360" w:lineRule="exact"/>
        <w:ind w:firstLine="480" w:firstLineChars="200"/>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6.2.4 因不可抗力导致的合同解除，双方约定损失的分担如下： </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 xml:space="preserve"> 。</w:t>
      </w:r>
    </w:p>
    <w:p>
      <w:pPr>
        <w:pStyle w:val="3"/>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b/>
          <w:bCs/>
          <w:color w:val="auto"/>
          <w:sz w:val="24"/>
          <w:szCs w:val="24"/>
          <w:highlight w:val="none"/>
        </w:rPr>
      </w:pPr>
      <w:bookmarkStart w:id="234" w:name="_Toc13231"/>
      <w:bookmarkStart w:id="235" w:name="_Toc8896"/>
      <w:r>
        <w:rPr>
          <w:rFonts w:hint="eastAsia" w:ascii="宋体" w:hAnsi="宋体" w:eastAsia="宋体" w:cs="宋体"/>
          <w:b/>
          <w:bCs/>
          <w:color w:val="auto"/>
          <w:sz w:val="24"/>
          <w:szCs w:val="24"/>
          <w:highlight w:val="none"/>
        </w:rPr>
        <w:t>7. 争议解决</w:t>
      </w:r>
      <w:bookmarkEnd w:id="234"/>
      <w:bookmarkEnd w:id="235"/>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236" w:name="_Toc26839"/>
      <w:bookmarkStart w:id="237" w:name="_Toc10485"/>
      <w:r>
        <w:rPr>
          <w:rFonts w:hint="eastAsia" w:ascii="宋体" w:hAnsi="宋体" w:eastAsia="宋体" w:cs="宋体"/>
          <w:color w:val="auto"/>
          <w:sz w:val="24"/>
          <w:szCs w:val="24"/>
          <w:highlight w:val="none"/>
        </w:rPr>
        <w:t>7.1 调解</w:t>
      </w:r>
      <w:bookmarkEnd w:id="236"/>
      <w:bookmarkEnd w:id="237"/>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如果双方不能在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日内解决本合同争议，可以将其提交项目所在地仲裁委员会进行调解。</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238" w:name="_Toc5738"/>
      <w:bookmarkStart w:id="239" w:name="_Toc13366"/>
      <w:r>
        <w:rPr>
          <w:rFonts w:hint="eastAsia" w:ascii="宋体" w:hAnsi="宋体" w:eastAsia="宋体" w:cs="宋体"/>
          <w:color w:val="auto"/>
          <w:sz w:val="24"/>
          <w:szCs w:val="24"/>
          <w:highlight w:val="none"/>
        </w:rPr>
        <w:t>7.2 仲裁或诉讼</w:t>
      </w:r>
      <w:bookmarkEnd w:id="238"/>
      <w:bookmarkEnd w:id="239"/>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合同争议的最终解决方式为下列第</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种方式：</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（1）提请___</w:t>
      </w:r>
      <w:r>
        <w:rPr>
          <w:rFonts w:hint="eastAsia" w:ascii="宋体" w:hAnsi="宋体" w:eastAsia="宋体" w:cs="宋体"/>
          <w:b/>
          <w:color w:val="auto"/>
          <w:sz w:val="24"/>
          <w:szCs w:val="24"/>
          <w:highlight w:val="none"/>
        </w:rPr>
        <w:t>_</w:t>
      </w:r>
      <w:r>
        <w:rPr>
          <w:rFonts w:hint="eastAsia" w:ascii="宋体" w:hAnsi="宋体" w:eastAsia="宋体" w:cs="宋体"/>
          <w:color w:val="auto"/>
          <w:sz w:val="24"/>
          <w:szCs w:val="24"/>
          <w:highlight w:val="none"/>
        </w:rPr>
        <w:t>_</w:t>
      </w:r>
      <w:r>
        <w:rPr>
          <w:rFonts w:hint="eastAsia" w:ascii="宋体" w:hAnsi="宋体" w:eastAsia="宋体" w:cs="宋体"/>
          <w:b/>
          <w:color w:val="auto"/>
          <w:sz w:val="24"/>
          <w:szCs w:val="24"/>
          <w:highlight w:val="none"/>
        </w:rPr>
        <w:t>_</w:t>
      </w:r>
      <w:r>
        <w:rPr>
          <w:rFonts w:hint="eastAsia" w:ascii="宋体" w:hAnsi="宋体" w:eastAsia="宋体" w:cs="宋体"/>
          <w:color w:val="auto"/>
          <w:sz w:val="24"/>
          <w:szCs w:val="24"/>
          <w:highlight w:val="none"/>
        </w:rPr>
        <w:t>_仲裁委员会进行仲裁。</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u w:val="single"/>
        </w:rPr>
        <w:t>向</w:t>
      </w:r>
      <w:r>
        <w:rPr>
          <w:rFonts w:hint="eastAsia" w:ascii="宋体" w:hAnsi="宋体" w:eastAsia="宋体" w:cs="宋体"/>
          <w:color w:val="auto"/>
          <w:sz w:val="24"/>
          <w:szCs w:val="24"/>
          <w:highlight w:val="none"/>
          <w:u w:val="single"/>
          <w:lang w:val="en-US" w:eastAsia="zh-CN"/>
        </w:rPr>
        <w:t>委托人所在地</w:t>
      </w:r>
      <w:r>
        <w:rPr>
          <w:rFonts w:hint="eastAsia" w:ascii="宋体" w:hAnsi="宋体" w:eastAsia="宋体" w:cs="宋体"/>
          <w:color w:val="auto"/>
          <w:sz w:val="24"/>
          <w:szCs w:val="24"/>
          <w:highlight w:val="none"/>
        </w:rPr>
        <w:t>人民法院提起诉讼。</w:t>
      </w:r>
    </w:p>
    <w:p>
      <w:pPr>
        <w:pStyle w:val="3"/>
        <w:pageBreakBefore w:val="0"/>
        <w:widowControl/>
        <w:kinsoku/>
        <w:wordWrap/>
        <w:overflowPunct/>
        <w:topLinePunct w:val="0"/>
        <w:autoSpaceDE/>
        <w:autoSpaceDN/>
        <w:bidi w:val="0"/>
        <w:adjustRightInd/>
        <w:snapToGrid/>
        <w:spacing w:line="360" w:lineRule="exact"/>
        <w:ind w:left="420" w:leftChars="200"/>
        <w:rPr>
          <w:rStyle w:val="36"/>
          <w:rFonts w:hint="eastAsia" w:ascii="宋体" w:hAnsi="宋体" w:eastAsia="宋体" w:cs="宋体"/>
          <w:b/>
          <w:bCs/>
          <w:color w:val="auto"/>
          <w:sz w:val="24"/>
          <w:szCs w:val="24"/>
          <w:highlight w:val="none"/>
        </w:rPr>
      </w:pPr>
      <w:bookmarkStart w:id="240" w:name="_Toc3650"/>
      <w:bookmarkStart w:id="241" w:name="_Toc8316"/>
      <w:r>
        <w:rPr>
          <w:rFonts w:hint="eastAsia" w:ascii="宋体" w:hAnsi="宋体" w:eastAsia="宋体" w:cs="宋体"/>
          <w:b/>
          <w:bCs/>
          <w:color w:val="auto"/>
          <w:sz w:val="24"/>
          <w:szCs w:val="24"/>
          <w:highlight w:val="none"/>
        </w:rPr>
        <w:t>8. 其他</w:t>
      </w:r>
      <w:bookmarkEnd w:id="240"/>
      <w:bookmarkEnd w:id="241"/>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242" w:name="_Toc5520"/>
      <w:bookmarkStart w:id="243" w:name="_Toc21218"/>
      <w:r>
        <w:rPr>
          <w:rFonts w:hint="eastAsia" w:ascii="宋体" w:hAnsi="宋体" w:eastAsia="宋体" w:cs="宋体"/>
          <w:color w:val="auto"/>
          <w:sz w:val="24"/>
          <w:szCs w:val="24"/>
          <w:highlight w:val="none"/>
        </w:rPr>
        <w:t>8.1 考察及相关费用</w:t>
      </w:r>
      <w:bookmarkEnd w:id="242"/>
      <w:bookmarkEnd w:id="243"/>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咨询人经委托人同意进行考察发生的费用由</w:t>
      </w:r>
      <w:r>
        <w:rPr>
          <w:rFonts w:hint="eastAsia" w:ascii="宋体" w:hAnsi="宋体" w:eastAsia="宋体" w:cs="宋体"/>
          <w:color w:val="auto"/>
          <w:sz w:val="24"/>
          <w:szCs w:val="24"/>
          <w:highlight w:val="none"/>
          <w:lang w:val="en-US" w:eastAsia="zh-CN"/>
        </w:rPr>
        <w:t>咨询人自行负责</w:t>
      </w:r>
      <w:r>
        <w:rPr>
          <w:rFonts w:hint="eastAsia" w:ascii="宋体" w:hAnsi="宋体" w:eastAsia="宋体" w:cs="宋体"/>
          <w:color w:val="auto"/>
          <w:sz w:val="24"/>
          <w:szCs w:val="24"/>
          <w:highlight w:val="none"/>
        </w:rPr>
        <w:t>。</w:t>
      </w:r>
    </w:p>
    <w:p>
      <w:pPr>
        <w:pageBreakBefore w:val="0"/>
        <w:widowControl/>
        <w:kinsoku/>
        <w:wordWrap/>
        <w:overflowPunct/>
        <w:topLinePunct w:val="0"/>
        <w:autoSpaceDE/>
        <w:autoSpaceDN/>
        <w:bidi w:val="0"/>
        <w:adjustRightInd/>
        <w:snapToGrid/>
        <w:spacing w:line="360" w:lineRule="exact"/>
        <w:ind w:firstLine="480" w:firstLineChars="200"/>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差旅费及相关费用的支付：</w:t>
      </w:r>
      <w:r>
        <w:rPr>
          <w:rFonts w:hint="eastAsia" w:ascii="宋体" w:hAnsi="宋体" w:eastAsia="宋体" w:cs="宋体"/>
          <w:color w:val="auto"/>
          <w:sz w:val="24"/>
          <w:szCs w:val="24"/>
          <w:highlight w:val="none"/>
          <w:lang w:val="en-US" w:eastAsia="zh-CN"/>
        </w:rPr>
        <w:t>咨询人自行负责</w:t>
      </w:r>
      <w:r>
        <w:rPr>
          <w:rFonts w:hint="eastAsia" w:ascii="宋体" w:hAnsi="宋体" w:eastAsia="宋体" w:cs="宋体"/>
          <w:color w:val="auto"/>
          <w:sz w:val="24"/>
          <w:szCs w:val="24"/>
          <w:highlight w:val="none"/>
        </w:rPr>
        <w:t>。</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244" w:name="_Toc8574"/>
      <w:bookmarkStart w:id="245" w:name="_Toc12811"/>
      <w:r>
        <w:rPr>
          <w:rFonts w:hint="eastAsia" w:ascii="宋体" w:hAnsi="宋体" w:eastAsia="宋体" w:cs="宋体"/>
          <w:color w:val="auto"/>
          <w:sz w:val="24"/>
          <w:szCs w:val="24"/>
          <w:highlight w:val="none"/>
        </w:rPr>
        <w:t>8.2 奖励</w:t>
      </w:r>
      <w:bookmarkEnd w:id="244"/>
      <w:bookmarkEnd w:id="245"/>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合理化建议的奖励金额按下列方法确定：</w:t>
      </w:r>
      <w:r>
        <w:rPr>
          <w:rFonts w:hint="eastAsia" w:ascii="宋体" w:hAnsi="宋体" w:eastAsia="宋体" w:cs="宋体"/>
          <w:color w:val="auto"/>
          <w:sz w:val="24"/>
          <w:szCs w:val="24"/>
          <w:highlight w:val="none"/>
          <w:u w:val="single"/>
        </w:rPr>
        <w:t xml:space="preserve">无 </w:t>
      </w:r>
      <w:r>
        <w:rPr>
          <w:rFonts w:hint="eastAsia" w:ascii="宋体" w:hAnsi="宋体" w:eastAsia="宋体" w:cs="宋体"/>
          <w:color w:val="auto"/>
          <w:sz w:val="24"/>
          <w:szCs w:val="24"/>
          <w:highlight w:val="none"/>
        </w:rPr>
        <w:t>。</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bookmarkStart w:id="246" w:name="_Toc14577"/>
      <w:bookmarkStart w:id="247" w:name="_Toc12702"/>
      <w:r>
        <w:rPr>
          <w:rFonts w:hint="eastAsia" w:ascii="宋体" w:hAnsi="宋体" w:eastAsia="宋体" w:cs="宋体"/>
          <w:color w:val="auto"/>
          <w:sz w:val="24"/>
          <w:szCs w:val="24"/>
          <w:highlight w:val="none"/>
        </w:rPr>
        <w:t>8.3 保密</w:t>
      </w:r>
      <w:bookmarkEnd w:id="246"/>
      <w:bookmarkEnd w:id="247"/>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委托人申明的保密事项和期限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因投标人原因造成工作失误给委托人带来的一切损失由投标人承担</w:t>
      </w:r>
      <w:r>
        <w:rPr>
          <w:rFonts w:hint="eastAsia" w:ascii="宋体" w:hAnsi="宋体" w:eastAsia="宋体" w:cs="宋体"/>
          <w:color w:val="auto"/>
          <w:sz w:val="24"/>
          <w:szCs w:val="24"/>
          <w:highlight w:val="none"/>
        </w:rPr>
        <w:t>。</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咨询人申明的保密事项和期限：</w:t>
      </w:r>
      <w:r>
        <w:rPr>
          <w:rFonts w:hint="eastAsia" w:ascii="宋体" w:hAnsi="宋体" w:eastAsia="宋体" w:cs="宋体"/>
          <w:color w:val="auto"/>
          <w:sz w:val="24"/>
          <w:szCs w:val="24"/>
          <w:highlight w:val="none"/>
          <w:lang w:val="en-US" w:eastAsia="zh-CN"/>
        </w:rPr>
        <w:t>至新良大厦1-4号电梯更新改造项目竣工完成之日</w:t>
      </w:r>
      <w:r>
        <w:rPr>
          <w:rFonts w:hint="eastAsia" w:ascii="宋体" w:hAnsi="宋体" w:eastAsia="宋体" w:cs="宋体"/>
          <w:color w:val="auto"/>
          <w:sz w:val="24"/>
          <w:szCs w:val="24"/>
          <w:highlight w:val="none"/>
        </w:rPr>
        <w:t>。</w:t>
      </w:r>
    </w:p>
    <w:p>
      <w:pPr>
        <w:pageBreakBefore w:val="0"/>
        <w:widowControl/>
        <w:kinsoku/>
        <w:wordWrap/>
        <w:overflowPunct/>
        <w:topLinePunct w:val="0"/>
        <w:autoSpaceDE/>
        <w:autoSpaceDN/>
        <w:bidi w:val="0"/>
        <w:adjustRightInd/>
        <w:snapToGrid/>
        <w:spacing w:line="360" w:lineRule="exact"/>
        <w:ind w:firstLine="480" w:firstLineChars="200"/>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第三人申明的保密事项和期限：无。</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lang w:val="en-US" w:eastAsia="zh-CN"/>
        </w:rPr>
      </w:pPr>
      <w:bookmarkStart w:id="248" w:name="_Toc30303"/>
      <w:bookmarkStart w:id="249" w:name="_Toc16264"/>
      <w:r>
        <w:rPr>
          <w:rFonts w:hint="eastAsia" w:ascii="宋体" w:hAnsi="宋体" w:eastAsia="宋体" w:cs="宋体"/>
          <w:color w:val="auto"/>
          <w:sz w:val="24"/>
          <w:szCs w:val="24"/>
          <w:highlight w:val="none"/>
        </w:rPr>
        <w:t xml:space="preserve">8.4 </w:t>
      </w:r>
      <w:r>
        <w:rPr>
          <w:rFonts w:hint="eastAsia" w:ascii="宋体" w:hAnsi="宋体" w:eastAsia="宋体" w:cs="宋体"/>
          <w:color w:val="auto"/>
          <w:sz w:val="24"/>
          <w:szCs w:val="24"/>
          <w:highlight w:val="none"/>
          <w:lang w:val="en-US" w:eastAsia="zh-CN"/>
        </w:rPr>
        <w:t>联络</w:t>
      </w:r>
    </w:p>
    <w:p>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8.4.1 任何一方与合同有关的通知、指示、要求、决定等，均应在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日内送达对方指定的接收人和送达地点。</w:t>
      </w:r>
    </w:p>
    <w:p>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8.4.2 委托人指定的送达接收人：        ，送达地点：      ，电子邮箱：  </w:t>
      </w:r>
    </w:p>
    <w:p>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咨询人指定的送达接收人：           ，送达地点：      ，电子邮箱：  </w:t>
      </w:r>
    </w:p>
    <w:p>
      <w:p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pStyle w:val="4"/>
        <w:pageBreakBefore w:val="0"/>
        <w:widowControl/>
        <w:kinsoku/>
        <w:wordWrap/>
        <w:overflowPunct/>
        <w:topLinePunct w:val="0"/>
        <w:autoSpaceDE/>
        <w:autoSpaceDN/>
        <w:bidi w:val="0"/>
        <w:adjustRightInd/>
        <w:snapToGrid/>
        <w:spacing w:line="360" w:lineRule="exact"/>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rPr>
        <w:t>知识产权</w:t>
      </w:r>
      <w:bookmarkEnd w:id="248"/>
      <w:bookmarkEnd w:id="249"/>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委托人提供给咨询人的图纸、委托人为实施工程自行编制或委托编制的技</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术规范以及反映委托人要求的或其他类似性质文件的著作权属于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委托人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咨询人为履行本合同约定而编制的成果文件，其著作权属于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咨询人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双方将履行本合同形成的有关成果文件用于企业宣传、申报奖项以及接受</w:t>
      </w:r>
    </w:p>
    <w:p>
      <w:pPr>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上级主管部门的检查须遵守以下约定：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p>
    <w:p>
      <w:pPr>
        <w:spacing w:line="360" w:lineRule="exact"/>
        <w:ind w:firstLine="480" w:firstLineChars="200"/>
        <w:rPr>
          <w:rFonts w:hint="eastAsia" w:asciiTheme="minorEastAsia" w:hAnsiTheme="minorEastAsia" w:eastAsiaTheme="minorEastAsia" w:cstheme="minorEastAsia"/>
          <w:color w:val="auto"/>
          <w:sz w:val="24"/>
          <w:highlight w:val="none"/>
        </w:rPr>
      </w:pPr>
    </w:p>
    <w:p>
      <w:pPr>
        <w:spacing w:line="360" w:lineRule="exact"/>
        <w:ind w:firstLine="480" w:firstLineChars="200"/>
        <w:rPr>
          <w:rFonts w:hint="eastAsia" w:asciiTheme="minorEastAsia" w:hAnsiTheme="minorEastAsia" w:eastAsiaTheme="minorEastAsia" w:cstheme="minorEastAsia"/>
          <w:color w:val="auto"/>
          <w:sz w:val="24"/>
          <w:highlight w:val="none"/>
        </w:rPr>
      </w:pPr>
    </w:p>
    <w:p>
      <w:pPr>
        <w:spacing w:line="360" w:lineRule="exact"/>
        <w:ind w:firstLine="480" w:firstLineChars="200"/>
        <w:rPr>
          <w:rFonts w:hint="eastAsia" w:asciiTheme="minorEastAsia" w:hAnsiTheme="minorEastAsia" w:eastAsiaTheme="minorEastAsia" w:cstheme="minorEastAsia"/>
          <w:color w:val="auto"/>
          <w:sz w:val="24"/>
          <w:highlight w:val="none"/>
        </w:rPr>
      </w:pPr>
    </w:p>
    <w:p>
      <w:pPr>
        <w:spacing w:line="360" w:lineRule="exact"/>
        <w:ind w:firstLine="480" w:firstLineChars="200"/>
        <w:rPr>
          <w:rFonts w:hint="eastAsia" w:asciiTheme="minorEastAsia" w:hAnsiTheme="minorEastAsia" w:eastAsiaTheme="minorEastAsia" w:cstheme="minorEastAsia"/>
          <w:color w:val="auto"/>
          <w:sz w:val="24"/>
          <w:highlight w:val="none"/>
        </w:rPr>
      </w:pPr>
    </w:p>
    <w:p>
      <w:pPr>
        <w:spacing w:line="360" w:lineRule="exact"/>
        <w:ind w:firstLine="480" w:firstLineChars="200"/>
        <w:rPr>
          <w:rFonts w:hint="eastAsia" w:asciiTheme="minorEastAsia" w:hAnsiTheme="minorEastAsia" w:eastAsiaTheme="minorEastAsia" w:cstheme="minorEastAsia"/>
          <w:color w:val="auto"/>
          <w:sz w:val="24"/>
          <w:highlight w:val="none"/>
        </w:rPr>
      </w:pPr>
    </w:p>
    <w:p>
      <w:pPr>
        <w:spacing w:line="360" w:lineRule="exact"/>
        <w:rPr>
          <w:rFonts w:hint="eastAsia" w:asciiTheme="minorEastAsia" w:hAnsiTheme="minorEastAsia" w:eastAsiaTheme="minorEastAsia" w:cstheme="minorEastAsia"/>
          <w:color w:val="auto"/>
          <w:sz w:val="24"/>
          <w:highlight w:val="none"/>
        </w:rPr>
      </w:pPr>
    </w:p>
    <w:p>
      <w:pPr>
        <w:widowControl/>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spacing w:line="360" w:lineRule="exact"/>
        <w:rPr>
          <w:rFonts w:hint="eastAsia" w:ascii="宋体" w:hAnsi="宋体" w:cs="宋体"/>
          <w:color w:val="auto"/>
          <w:highlight w:val="none"/>
        </w:rPr>
      </w:pPr>
      <w:bookmarkStart w:id="250" w:name="_bookmark27"/>
      <w:bookmarkEnd w:id="250"/>
    </w:p>
    <w:p>
      <w:pPr>
        <w:tabs>
          <w:tab w:val="left" w:pos="0"/>
        </w:tabs>
        <w:spacing w:line="360" w:lineRule="exact"/>
        <w:rPr>
          <w:rFonts w:hint="eastAsia" w:ascii="宋体" w:hAnsi="宋体" w:cs="宋体"/>
          <w:b/>
          <w:bCs/>
          <w:color w:val="auto"/>
          <w:szCs w:val="21"/>
          <w:highlight w:val="none"/>
        </w:rPr>
      </w:pPr>
      <w:r>
        <w:rPr>
          <w:rFonts w:hint="eastAsia" w:ascii="宋体" w:hAnsi="宋体" w:cs="宋体"/>
          <w:b/>
          <w:bCs/>
          <w:color w:val="auto"/>
          <w:szCs w:val="21"/>
          <w:highlight w:val="none"/>
        </w:rPr>
        <w:t>附件：</w:t>
      </w:r>
    </w:p>
    <w:p>
      <w:pPr>
        <w:tabs>
          <w:tab w:val="left" w:pos="0"/>
        </w:tabs>
        <w:spacing w:line="360" w:lineRule="exact"/>
        <w:jc w:val="center"/>
        <w:rPr>
          <w:rFonts w:hint="eastAsia" w:ascii="宋体" w:hAnsi="宋体" w:cs="宋体"/>
          <w:color w:val="auto"/>
          <w:highlight w:val="none"/>
        </w:rPr>
      </w:pPr>
      <w:r>
        <w:rPr>
          <w:rFonts w:hint="eastAsia" w:ascii="宋体" w:hAnsi="宋体" w:cs="宋体"/>
          <w:b/>
          <w:bCs/>
          <w:color w:val="auto"/>
          <w:sz w:val="28"/>
          <w:szCs w:val="28"/>
          <w:highlight w:val="none"/>
        </w:rPr>
        <w:t>廉洁承诺书</w:t>
      </w:r>
    </w:p>
    <w:p>
      <w:pPr>
        <w:tabs>
          <w:tab w:val="left" w:pos="0"/>
        </w:tabs>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根据国家、省、市政府有关廉政建设的规定，为加强党风廉政建设，保证项目资金的安全、有效使用，我司承诺如下：</w:t>
      </w:r>
    </w:p>
    <w:p>
      <w:pPr>
        <w:tabs>
          <w:tab w:val="left" w:pos="0"/>
        </w:tabs>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1、我司承诺严格遵守党和国家有关法律法规及省市的有关规定；严格执行项目合同文件，自觉按合同办事。</w:t>
      </w:r>
    </w:p>
    <w:p>
      <w:pPr>
        <w:tabs>
          <w:tab w:val="left" w:pos="0"/>
        </w:tabs>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2、我司承诺将严格遵守双方廉洁建设的各项规定，建立健全廉洁制度，开展廉洁教育与监督，杜绝我司人员进行不廉洁活动。</w:t>
      </w:r>
    </w:p>
    <w:p>
      <w:pPr>
        <w:tabs>
          <w:tab w:val="left" w:pos="0"/>
        </w:tabs>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3、我司保证不为获取不正当利益，与项目相关人员私下达成默契，损害贵司及国家利益。</w:t>
      </w:r>
    </w:p>
    <w:p>
      <w:pPr>
        <w:tabs>
          <w:tab w:val="left" w:pos="0"/>
        </w:tabs>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我司保证不以任何理由向贵司员工或其亲属等相关人员提供礼金、有价证券、贵重物品等；不以任何理由邀请相关人员参加宴请、外出旅游等活动；不以任何名义为相关人员报销应由其单位或个人支付的任何费用等；不以任何理由安排相关人员参加超标准宴请及娱乐活动等；不为相关人员购置或提供通讯工具、交通工具和高档办公用品等。</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5、我司保证在本项目实施过程中，不从事、不参与</w:t>
      </w:r>
      <w:r>
        <w:rPr>
          <w:rFonts w:hint="eastAsia" w:ascii="宋体" w:hAnsi="宋体" w:cs="宋体"/>
          <w:color w:val="auto"/>
          <w:sz w:val="24"/>
          <w:highlight w:val="none"/>
          <w:lang w:eastAsia="zh-CN"/>
        </w:rPr>
        <w:t>其他</w:t>
      </w:r>
      <w:r>
        <w:rPr>
          <w:rFonts w:hint="eastAsia" w:ascii="宋体" w:hAnsi="宋体" w:cs="宋体"/>
          <w:color w:val="auto"/>
          <w:sz w:val="24"/>
          <w:highlight w:val="none"/>
        </w:rPr>
        <w:t>任何违法、违规行为。</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发现我司及人员有违反上述保证的，我司承诺每发现一次向贵司支付合同总价20%的违约金，贵司因此解除合同的，我方无条件同意；造成国家资产损失的进行赔偿；涉及违纪、违法的情况，按照国家相关规定追究。</w:t>
      </w:r>
    </w:p>
    <w:p>
      <w:pPr>
        <w:spacing w:line="360" w:lineRule="exact"/>
        <w:ind w:firstLine="480" w:firstLineChars="200"/>
        <w:rPr>
          <w:rFonts w:hint="eastAsia" w:ascii="宋体" w:hAnsi="宋体" w:cs="宋体"/>
          <w:color w:val="auto"/>
          <w:kern w:val="0"/>
          <w:sz w:val="24"/>
          <w:szCs w:val="21"/>
          <w:highlight w:val="none"/>
        </w:rPr>
      </w:pPr>
    </w:p>
    <w:p>
      <w:pPr>
        <w:spacing w:line="360" w:lineRule="exact"/>
        <w:ind w:firstLine="480" w:firstLineChars="200"/>
        <w:rPr>
          <w:rFonts w:hint="eastAsia" w:ascii="宋体" w:hAnsi="宋体" w:cs="宋体"/>
          <w:color w:val="auto"/>
          <w:kern w:val="0"/>
          <w:sz w:val="24"/>
          <w:szCs w:val="21"/>
          <w:highlight w:val="none"/>
        </w:rPr>
      </w:pPr>
    </w:p>
    <w:p>
      <w:pPr>
        <w:spacing w:line="360" w:lineRule="exact"/>
        <w:ind w:firstLine="480" w:firstLineChars="200"/>
        <w:rPr>
          <w:rFonts w:hint="eastAsia" w:ascii="宋体" w:hAnsi="宋体" w:cs="宋体"/>
          <w:color w:val="auto"/>
          <w:kern w:val="0"/>
          <w:sz w:val="24"/>
          <w:szCs w:val="21"/>
          <w:highlight w:val="none"/>
        </w:rPr>
      </w:pPr>
      <w:r>
        <w:rPr>
          <w:rFonts w:hint="eastAsia" w:ascii="宋体" w:hAnsi="宋体" w:cs="宋体"/>
          <w:color w:val="auto"/>
          <w:kern w:val="0"/>
          <w:sz w:val="24"/>
          <w:szCs w:val="21"/>
          <w:highlight w:val="none"/>
        </w:rPr>
        <w:t>承诺人</w:t>
      </w:r>
      <w:r>
        <w:rPr>
          <w:rFonts w:hint="eastAsia" w:ascii="宋体" w:hAnsi="宋体" w:cs="宋体"/>
          <w:color w:val="auto"/>
          <w:kern w:val="0"/>
          <w:sz w:val="24"/>
          <w:szCs w:val="21"/>
          <w:highlight w:val="none"/>
          <w:u w:val="single"/>
        </w:rPr>
        <w:t>（</w:t>
      </w:r>
      <w:r>
        <w:rPr>
          <w:rFonts w:hint="eastAsia" w:ascii="宋体" w:hAnsi="宋体" w:cs="宋体"/>
          <w:color w:val="auto"/>
          <w:kern w:val="0"/>
          <w:sz w:val="24"/>
          <w:szCs w:val="21"/>
          <w:highlight w:val="none"/>
        </w:rPr>
        <w:t>盖章）：</w:t>
      </w:r>
    </w:p>
    <w:p>
      <w:pPr>
        <w:spacing w:line="360" w:lineRule="exact"/>
        <w:ind w:firstLine="480" w:firstLineChars="200"/>
        <w:rPr>
          <w:rFonts w:hint="eastAsia" w:ascii="宋体" w:hAnsi="宋体" w:cs="宋体"/>
          <w:color w:val="auto"/>
          <w:kern w:val="0"/>
          <w:sz w:val="24"/>
          <w:szCs w:val="21"/>
          <w:highlight w:val="none"/>
        </w:rPr>
      </w:pPr>
      <w:r>
        <w:rPr>
          <w:rFonts w:hint="eastAsia" w:ascii="宋体" w:hAnsi="宋体" w:cs="宋体"/>
          <w:color w:val="auto"/>
          <w:sz w:val="24"/>
          <w:szCs w:val="21"/>
          <w:highlight w:val="none"/>
        </w:rPr>
        <w:t>法定代表人或授权代表</w:t>
      </w:r>
      <w:r>
        <w:rPr>
          <w:rFonts w:hint="eastAsia" w:ascii="宋体" w:hAnsi="宋体" w:cs="宋体"/>
          <w:color w:val="auto"/>
          <w:kern w:val="0"/>
          <w:sz w:val="24"/>
          <w:szCs w:val="21"/>
          <w:highlight w:val="none"/>
          <w:u w:val="single"/>
        </w:rPr>
        <w:t>（</w:t>
      </w:r>
      <w:r>
        <w:rPr>
          <w:rFonts w:hint="eastAsia" w:ascii="宋体" w:hAnsi="宋体" w:cs="宋体"/>
          <w:color w:val="auto"/>
          <w:kern w:val="0"/>
          <w:sz w:val="24"/>
          <w:szCs w:val="21"/>
          <w:highlight w:val="none"/>
        </w:rPr>
        <w:t>签字）：</w:t>
      </w:r>
    </w:p>
    <w:p>
      <w:pPr>
        <w:spacing w:line="360" w:lineRule="exact"/>
        <w:rPr>
          <w:rFonts w:hint="eastAsia" w:ascii="宋体" w:hAnsi="宋体" w:cs="宋体"/>
          <w:color w:val="auto"/>
          <w:kern w:val="0"/>
          <w:sz w:val="24"/>
          <w:szCs w:val="21"/>
          <w:highlight w:val="none"/>
        </w:rPr>
        <w:sectPr>
          <w:headerReference r:id="rId11" w:type="default"/>
          <w:footerReference r:id="rId12" w:type="default"/>
          <w:pgSz w:w="11907" w:h="16840"/>
          <w:pgMar w:top="1440" w:right="1800" w:bottom="1440" w:left="1800" w:header="851" w:footer="992" w:gutter="0"/>
          <w:pgNumType w:fmt="decimal"/>
          <w:cols w:space="720" w:num="1"/>
          <w:docGrid w:linePitch="319" w:charSpace="0"/>
        </w:sectPr>
      </w:pPr>
      <w:r>
        <w:rPr>
          <w:rFonts w:hint="eastAsia" w:ascii="宋体" w:hAnsi="宋体" w:cs="宋体"/>
          <w:color w:val="auto"/>
          <w:kern w:val="0"/>
          <w:sz w:val="24"/>
          <w:szCs w:val="21"/>
          <w:highlight w:val="none"/>
        </w:rPr>
        <w:t xml:space="preserve">    日    期：</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rPr>
        <w:t>年</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rPr>
        <w:t>月</w:t>
      </w:r>
      <w:r>
        <w:rPr>
          <w:rFonts w:hint="eastAsia" w:ascii="宋体" w:hAnsi="宋体" w:cs="宋体"/>
          <w:color w:val="auto"/>
          <w:kern w:val="0"/>
          <w:sz w:val="24"/>
          <w:szCs w:val="21"/>
          <w:highlight w:val="none"/>
          <w:u w:val="single"/>
        </w:rPr>
        <w:t xml:space="preserve">         </w:t>
      </w:r>
    </w:p>
    <w:p>
      <w:pPr>
        <w:pStyle w:val="10"/>
        <w:spacing w:line="440" w:lineRule="exact"/>
        <w:rPr>
          <w:rFonts w:hint="eastAsia" w:ascii="宋体" w:hAnsi="宋体" w:cs="宋体"/>
          <w:color w:val="auto"/>
          <w:highlight w:val="none"/>
        </w:rPr>
      </w:pPr>
    </w:p>
    <w:p>
      <w:pPr>
        <w:spacing w:line="440" w:lineRule="exact"/>
        <w:jc w:val="center"/>
        <w:outlineLvl w:val="0"/>
        <w:rPr>
          <w:rFonts w:hint="eastAsia" w:ascii="宋体" w:hAnsi="宋体" w:cs="宋体"/>
          <w:b/>
          <w:bCs/>
          <w:color w:val="auto"/>
          <w:sz w:val="44"/>
          <w:szCs w:val="44"/>
          <w:highlight w:val="none"/>
        </w:rPr>
      </w:pPr>
      <w:bookmarkStart w:id="251" w:name="_Toc22020"/>
      <w:bookmarkStart w:id="252" w:name="_Toc11010"/>
      <w:bookmarkStart w:id="253" w:name="_Toc17981"/>
      <w:bookmarkStart w:id="254" w:name="_Toc32421"/>
      <w:r>
        <w:rPr>
          <w:rFonts w:hint="eastAsia" w:ascii="宋体" w:hAnsi="宋体" w:cs="宋体"/>
          <w:b/>
          <w:bCs/>
          <w:color w:val="auto"/>
          <w:sz w:val="44"/>
          <w:szCs w:val="44"/>
          <w:highlight w:val="none"/>
        </w:rPr>
        <w:t>第八章  附件</w:t>
      </w:r>
      <w:bookmarkEnd w:id="251"/>
      <w:bookmarkEnd w:id="252"/>
      <w:bookmarkEnd w:id="253"/>
      <w:bookmarkEnd w:id="254"/>
    </w:p>
    <w:p>
      <w:pPr>
        <w:spacing w:line="360" w:lineRule="exact"/>
        <w:rPr>
          <w:rFonts w:hint="eastAsia" w:ascii="宋体" w:hAnsi="宋体" w:cs="宋体"/>
          <w:b/>
          <w:color w:val="auto"/>
          <w:sz w:val="24"/>
          <w:szCs w:val="28"/>
          <w:highlight w:val="none"/>
        </w:rPr>
      </w:pPr>
    </w:p>
    <w:p>
      <w:pPr>
        <w:spacing w:line="360" w:lineRule="exact"/>
        <w:rPr>
          <w:rFonts w:hint="eastAsia" w:ascii="宋体" w:hAnsi="宋体" w:cs="宋体"/>
          <w:b/>
          <w:color w:val="auto"/>
          <w:sz w:val="24"/>
          <w:szCs w:val="28"/>
          <w:highlight w:val="none"/>
        </w:rPr>
      </w:pPr>
    </w:p>
    <w:p>
      <w:pPr>
        <w:spacing w:line="360" w:lineRule="exact"/>
        <w:outlineLvl w:val="1"/>
        <w:rPr>
          <w:rFonts w:hint="eastAsia" w:ascii="宋体" w:hAnsi="宋体" w:cs="宋体"/>
          <w:b/>
          <w:color w:val="auto"/>
          <w:sz w:val="24"/>
          <w:szCs w:val="28"/>
          <w:highlight w:val="none"/>
        </w:rPr>
      </w:pPr>
      <w:r>
        <w:rPr>
          <w:rFonts w:hint="eastAsia" w:ascii="宋体" w:hAnsi="宋体" w:cs="宋体"/>
          <w:b/>
          <w:color w:val="auto"/>
          <w:sz w:val="24"/>
          <w:szCs w:val="28"/>
          <w:highlight w:val="none"/>
        </w:rPr>
        <w:t>附件：递交响应文件签收表</w:t>
      </w:r>
    </w:p>
    <w:bookmarkEnd w:id="20"/>
    <w:tbl>
      <w:tblPr>
        <w:tblStyle w:val="26"/>
        <w:tblW w:w="13267" w:type="dxa"/>
        <w:tblInd w:w="0" w:type="dxa"/>
        <w:tblLayout w:type="fixed"/>
        <w:tblCellMar>
          <w:top w:w="15" w:type="dxa"/>
          <w:left w:w="15" w:type="dxa"/>
          <w:bottom w:w="15" w:type="dxa"/>
          <w:right w:w="15" w:type="dxa"/>
        </w:tblCellMar>
      </w:tblPr>
      <w:tblGrid>
        <w:gridCol w:w="1276"/>
        <w:gridCol w:w="532"/>
        <w:gridCol w:w="1276"/>
        <w:gridCol w:w="471"/>
        <w:gridCol w:w="1276"/>
        <w:gridCol w:w="874"/>
        <w:gridCol w:w="2233"/>
        <w:gridCol w:w="1276"/>
        <w:gridCol w:w="1559"/>
        <w:gridCol w:w="1276"/>
        <w:gridCol w:w="1218"/>
      </w:tblGrid>
      <w:tr>
        <w:tblPrEx>
          <w:tblCellMar>
            <w:top w:w="15" w:type="dxa"/>
            <w:left w:w="15" w:type="dxa"/>
            <w:bottom w:w="15" w:type="dxa"/>
            <w:right w:w="15" w:type="dxa"/>
          </w:tblCellMar>
        </w:tblPrEx>
        <w:trPr>
          <w:trHeight w:val="668" w:hRule="atLeast"/>
        </w:trPr>
        <w:tc>
          <w:tcPr>
            <w:tcW w:w="13267" w:type="dxa"/>
            <w:gridSpan w:val="11"/>
            <w:vAlign w:val="center"/>
          </w:tcPr>
          <w:p>
            <w:pPr>
              <w:spacing w:line="360" w:lineRule="exact"/>
              <w:jc w:val="center"/>
              <w:textAlignment w:val="center"/>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u w:val="single"/>
              </w:rPr>
              <w:t>递交响应文件签收表</w:t>
            </w:r>
          </w:p>
        </w:tc>
      </w:tr>
      <w:tr>
        <w:tblPrEx>
          <w:tblCellMar>
            <w:top w:w="15" w:type="dxa"/>
            <w:left w:w="15" w:type="dxa"/>
            <w:bottom w:w="15" w:type="dxa"/>
            <w:right w:w="15" w:type="dxa"/>
          </w:tblCellMar>
        </w:tblPrEx>
        <w:trPr>
          <w:trHeight w:val="463" w:hRule="atLeast"/>
        </w:trPr>
        <w:tc>
          <w:tcPr>
            <w:tcW w:w="1276" w:type="dxa"/>
            <w:vAlign w:val="center"/>
          </w:tcPr>
          <w:p>
            <w:pPr>
              <w:widowControl/>
              <w:spacing w:line="360" w:lineRule="exact"/>
              <w:jc w:val="left"/>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rPr>
              <w:t>项目名称：</w:t>
            </w:r>
          </w:p>
        </w:tc>
        <w:tc>
          <w:tcPr>
            <w:tcW w:w="7938" w:type="dxa"/>
            <w:gridSpan w:val="7"/>
            <w:vAlign w:val="center"/>
          </w:tcPr>
          <w:p>
            <w:pPr>
              <w:spacing w:line="360" w:lineRule="exact"/>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新良大厦1-4号电梯更新改造项目工程造价咨询服务</w:t>
            </w:r>
            <w:r>
              <w:rPr>
                <w:rFonts w:hint="eastAsia" w:ascii="宋体" w:hAnsi="宋体" w:cs="宋体"/>
                <w:b/>
                <w:bCs w:val="0"/>
                <w:color w:val="auto"/>
                <w:sz w:val="22"/>
                <w:szCs w:val="22"/>
                <w:highlight w:val="none"/>
                <w:u w:val="none"/>
                <w:lang w:eastAsia="zh-CN"/>
              </w:rPr>
              <w:t>（</w:t>
            </w:r>
            <w:r>
              <w:rPr>
                <w:rFonts w:hint="eastAsia" w:ascii="宋体" w:hAnsi="宋体" w:cs="宋体"/>
                <w:b/>
                <w:bCs w:val="0"/>
                <w:color w:val="auto"/>
                <w:sz w:val="22"/>
                <w:szCs w:val="22"/>
                <w:highlight w:val="none"/>
                <w:u w:val="none"/>
                <w:lang w:val="en-US" w:eastAsia="zh-CN"/>
              </w:rPr>
              <w:t>最高投标限价编制及工程量清单编制服务</w:t>
            </w:r>
            <w:r>
              <w:rPr>
                <w:rFonts w:hint="eastAsia" w:ascii="宋体" w:hAnsi="宋体" w:cs="宋体"/>
                <w:b/>
                <w:bCs w:val="0"/>
                <w:color w:val="auto"/>
                <w:sz w:val="22"/>
                <w:szCs w:val="22"/>
                <w:highlight w:val="none"/>
                <w:u w:val="none"/>
                <w:lang w:eastAsia="zh-CN"/>
              </w:rPr>
              <w:t>）</w:t>
            </w:r>
          </w:p>
        </w:tc>
        <w:tc>
          <w:tcPr>
            <w:tcW w:w="2835" w:type="dxa"/>
            <w:gridSpan w:val="2"/>
            <w:vAlign w:val="center"/>
          </w:tcPr>
          <w:p>
            <w:pPr>
              <w:widowControl/>
              <w:spacing w:line="360" w:lineRule="exact"/>
              <w:ind w:right="990"/>
              <w:jc w:val="right"/>
              <w:textAlignment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采购项目编号：</w:t>
            </w:r>
          </w:p>
        </w:tc>
        <w:tc>
          <w:tcPr>
            <w:tcW w:w="1218" w:type="dxa"/>
            <w:vAlign w:val="center"/>
          </w:tcPr>
          <w:p>
            <w:pPr>
              <w:spacing w:line="360" w:lineRule="exact"/>
              <w:rPr>
                <w:rFonts w:hint="eastAsia" w:ascii="宋体" w:hAnsi="宋体" w:cs="宋体"/>
                <w:b/>
                <w:color w:val="auto"/>
                <w:sz w:val="22"/>
                <w:szCs w:val="22"/>
                <w:highlight w:val="none"/>
              </w:rPr>
            </w:pPr>
          </w:p>
        </w:tc>
      </w:tr>
      <w:tr>
        <w:tblPrEx>
          <w:tblCellMar>
            <w:top w:w="15" w:type="dxa"/>
            <w:left w:w="15" w:type="dxa"/>
            <w:bottom w:w="15" w:type="dxa"/>
            <w:right w:w="15" w:type="dxa"/>
          </w:tblCellMar>
        </w:tblPrEx>
        <w:trPr>
          <w:trHeight w:val="463" w:hRule="atLeast"/>
        </w:trPr>
        <w:tc>
          <w:tcPr>
            <w:tcW w:w="1276" w:type="dxa"/>
            <w:tcBorders>
              <w:bottom w:val="single" w:color="000000" w:sz="12" w:space="0"/>
            </w:tcBorders>
            <w:vAlign w:val="center"/>
          </w:tcPr>
          <w:p>
            <w:pPr>
              <w:widowControl/>
              <w:spacing w:line="360" w:lineRule="exact"/>
              <w:jc w:val="left"/>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rPr>
              <w:t>询价时间：</w:t>
            </w:r>
          </w:p>
        </w:tc>
        <w:tc>
          <w:tcPr>
            <w:tcW w:w="1808" w:type="dxa"/>
            <w:gridSpan w:val="2"/>
            <w:tcBorders>
              <w:bottom w:val="single" w:color="000000" w:sz="12" w:space="0"/>
            </w:tcBorders>
            <w:vAlign w:val="center"/>
          </w:tcPr>
          <w:p>
            <w:pPr>
              <w:spacing w:line="360" w:lineRule="exact"/>
              <w:rPr>
                <w:rFonts w:hint="eastAsia" w:ascii="宋体" w:hAnsi="宋体" w:cs="宋体"/>
                <w:b/>
                <w:color w:val="auto"/>
                <w:sz w:val="22"/>
                <w:szCs w:val="22"/>
                <w:highlight w:val="none"/>
              </w:rPr>
            </w:pPr>
          </w:p>
        </w:tc>
        <w:tc>
          <w:tcPr>
            <w:tcW w:w="1747" w:type="dxa"/>
            <w:gridSpan w:val="2"/>
            <w:tcBorders>
              <w:bottom w:val="single" w:color="000000" w:sz="12" w:space="0"/>
            </w:tcBorders>
            <w:vAlign w:val="center"/>
          </w:tcPr>
          <w:p>
            <w:pPr>
              <w:spacing w:line="360" w:lineRule="exact"/>
              <w:rPr>
                <w:rFonts w:hint="eastAsia" w:ascii="宋体" w:hAnsi="宋体" w:cs="宋体"/>
                <w:b/>
                <w:color w:val="auto"/>
                <w:sz w:val="22"/>
                <w:szCs w:val="22"/>
                <w:highlight w:val="none"/>
              </w:rPr>
            </w:pPr>
          </w:p>
        </w:tc>
        <w:tc>
          <w:tcPr>
            <w:tcW w:w="4383" w:type="dxa"/>
            <w:gridSpan w:val="3"/>
            <w:tcBorders>
              <w:bottom w:val="single" w:color="000000" w:sz="12" w:space="0"/>
            </w:tcBorders>
            <w:vAlign w:val="center"/>
          </w:tcPr>
          <w:p>
            <w:pPr>
              <w:spacing w:line="360" w:lineRule="exact"/>
              <w:rPr>
                <w:rFonts w:hint="eastAsia" w:ascii="宋体" w:hAnsi="宋体" w:cs="宋体"/>
                <w:color w:val="auto"/>
                <w:highlight w:val="none"/>
              </w:rPr>
            </w:pPr>
          </w:p>
        </w:tc>
        <w:tc>
          <w:tcPr>
            <w:tcW w:w="2835" w:type="dxa"/>
            <w:gridSpan w:val="2"/>
            <w:tcBorders>
              <w:bottom w:val="single" w:color="000000" w:sz="12" w:space="0"/>
            </w:tcBorders>
            <w:vAlign w:val="center"/>
          </w:tcPr>
          <w:p>
            <w:pPr>
              <w:widowControl/>
              <w:spacing w:line="360" w:lineRule="exact"/>
              <w:ind w:right="990"/>
              <w:jc w:val="right"/>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rPr>
              <w:t>询价地点：</w:t>
            </w:r>
          </w:p>
        </w:tc>
        <w:tc>
          <w:tcPr>
            <w:tcW w:w="1218" w:type="dxa"/>
            <w:tcBorders>
              <w:bottom w:val="single" w:color="000000" w:sz="12" w:space="0"/>
            </w:tcBorders>
            <w:vAlign w:val="center"/>
          </w:tcPr>
          <w:p>
            <w:pPr>
              <w:spacing w:line="360" w:lineRule="exact"/>
              <w:rPr>
                <w:rFonts w:hint="eastAsia" w:ascii="宋体" w:hAnsi="宋体" w:cs="宋体"/>
                <w:b/>
                <w:color w:val="auto"/>
                <w:sz w:val="22"/>
                <w:szCs w:val="22"/>
                <w:highlight w:val="none"/>
              </w:rPr>
            </w:pPr>
          </w:p>
        </w:tc>
      </w:tr>
      <w:tr>
        <w:tblPrEx>
          <w:tblCellMar>
            <w:top w:w="15" w:type="dxa"/>
            <w:left w:w="15" w:type="dxa"/>
            <w:bottom w:w="15" w:type="dxa"/>
            <w:right w:w="15" w:type="dxa"/>
          </w:tblCellMar>
        </w:tblPrEx>
        <w:trPr>
          <w:trHeight w:val="1231" w:hRule="atLeast"/>
        </w:trPr>
        <w:tc>
          <w:tcPr>
            <w:tcW w:w="1808" w:type="dxa"/>
            <w:gridSpan w:val="2"/>
            <w:tcBorders>
              <w:top w:val="dashSmallGap" w:color="000000" w:sz="4" w:space="0"/>
              <w:left w:val="dashSmallGap" w:color="000000" w:sz="4" w:space="0"/>
              <w:bottom w:val="dashSmallGap" w:color="000000" w:sz="4" w:space="0"/>
              <w:right w:val="dashSmallGap" w:color="000000" w:sz="4" w:space="0"/>
            </w:tcBorders>
            <w:vAlign w:val="center"/>
          </w:tcPr>
          <w:p>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供应商</w:t>
            </w:r>
          </w:p>
        </w:tc>
        <w:tc>
          <w:tcPr>
            <w:tcW w:w="1747" w:type="dxa"/>
            <w:gridSpan w:val="2"/>
            <w:tcBorders>
              <w:top w:val="single" w:color="000000" w:sz="12" w:space="0"/>
              <w:left w:val="dashSmallGap" w:color="000000" w:sz="4" w:space="0"/>
              <w:bottom w:val="single" w:color="000000" w:sz="4" w:space="0"/>
              <w:right w:val="single" w:color="000000" w:sz="4" w:space="0"/>
            </w:tcBorders>
            <w:vAlign w:val="center"/>
          </w:tcPr>
          <w:p>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递交时间</w:t>
            </w:r>
          </w:p>
        </w:tc>
        <w:tc>
          <w:tcPr>
            <w:tcW w:w="2150" w:type="dxa"/>
            <w:gridSpan w:val="2"/>
            <w:tcBorders>
              <w:top w:val="single" w:color="000000" w:sz="12" w:space="0"/>
              <w:left w:val="single" w:color="000000" w:sz="4" w:space="0"/>
              <w:bottom w:val="single" w:color="000000" w:sz="4" w:space="0"/>
              <w:right w:val="single" w:color="auto" w:sz="4" w:space="0"/>
            </w:tcBorders>
            <w:vAlign w:val="center"/>
          </w:tcPr>
          <w:p>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密封合格与否</w:t>
            </w:r>
          </w:p>
          <w:p>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（签收人确认）</w:t>
            </w:r>
          </w:p>
        </w:tc>
        <w:tc>
          <w:tcPr>
            <w:tcW w:w="2233" w:type="dxa"/>
            <w:tcBorders>
              <w:top w:val="single" w:color="000000" w:sz="12" w:space="0"/>
              <w:left w:val="single" w:color="auto" w:sz="4" w:space="0"/>
              <w:bottom w:val="single" w:color="000000" w:sz="4" w:space="0"/>
            </w:tcBorders>
            <w:vAlign w:val="center"/>
          </w:tcPr>
          <w:p>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联系方式</w:t>
            </w:r>
          </w:p>
        </w:tc>
        <w:tc>
          <w:tcPr>
            <w:tcW w:w="2835" w:type="dxa"/>
            <w:gridSpan w:val="2"/>
            <w:tcBorders>
              <w:top w:val="single" w:color="000000" w:sz="12" w:space="0"/>
              <w:left w:val="single" w:color="000000" w:sz="4" w:space="0"/>
              <w:bottom w:val="single" w:color="000000" w:sz="4" w:space="0"/>
              <w:right w:val="single" w:color="000000" w:sz="4" w:space="0"/>
            </w:tcBorders>
            <w:vAlign w:val="center"/>
          </w:tcPr>
          <w:p>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签收回执确认</w:t>
            </w:r>
          </w:p>
        </w:tc>
        <w:tc>
          <w:tcPr>
            <w:tcW w:w="2494" w:type="dxa"/>
            <w:gridSpan w:val="2"/>
            <w:tcBorders>
              <w:top w:val="single" w:color="000000" w:sz="12" w:space="0"/>
              <w:left w:val="single" w:color="000000" w:sz="4" w:space="0"/>
              <w:bottom w:val="single" w:color="000000" w:sz="4" w:space="0"/>
              <w:right w:val="single" w:color="000000" w:sz="12" w:space="0"/>
            </w:tcBorders>
            <w:vAlign w:val="center"/>
          </w:tcPr>
          <w:p>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签收人</w:t>
            </w:r>
          </w:p>
        </w:tc>
      </w:tr>
      <w:tr>
        <w:tblPrEx>
          <w:tblCellMar>
            <w:top w:w="15" w:type="dxa"/>
            <w:left w:w="15" w:type="dxa"/>
            <w:bottom w:w="15" w:type="dxa"/>
            <w:right w:w="15" w:type="dxa"/>
          </w:tblCellMar>
        </w:tblPrEx>
        <w:trPr>
          <w:trHeight w:val="527" w:hRule="atLeast"/>
        </w:trPr>
        <w:tc>
          <w:tcPr>
            <w:tcW w:w="1808" w:type="dxa"/>
            <w:gridSpan w:val="2"/>
            <w:vMerge w:val="restart"/>
            <w:tcBorders>
              <w:top w:val="dashSmallGap" w:color="000000" w:sz="4" w:space="0"/>
              <w:left w:val="dashSmallGap" w:color="000000" w:sz="4" w:space="0"/>
              <w:bottom w:val="dashSmallGap" w:color="000000" w:sz="4" w:space="0"/>
              <w:right w:val="dashSmallGap" w:color="000000" w:sz="4" w:space="0"/>
            </w:tcBorders>
            <w:vAlign w:val="center"/>
          </w:tcPr>
          <w:p>
            <w:pPr>
              <w:spacing w:line="360" w:lineRule="exact"/>
              <w:rPr>
                <w:rFonts w:hint="eastAsia" w:ascii="宋体" w:hAnsi="宋体" w:cs="宋体"/>
                <w:color w:val="auto"/>
                <w:szCs w:val="21"/>
                <w:highlight w:val="none"/>
              </w:rPr>
            </w:pPr>
          </w:p>
        </w:tc>
        <w:tc>
          <w:tcPr>
            <w:tcW w:w="1747" w:type="dxa"/>
            <w:gridSpan w:val="2"/>
            <w:vMerge w:val="restart"/>
            <w:tcBorders>
              <w:top w:val="single" w:color="000000" w:sz="4" w:space="0"/>
              <w:left w:val="dashSmallGap" w:color="000000" w:sz="4" w:space="0"/>
              <w:bottom w:val="single" w:color="000000" w:sz="4" w:space="0"/>
              <w:right w:val="single" w:color="000000" w:sz="4" w:space="0"/>
            </w:tcBorders>
          </w:tcPr>
          <w:p>
            <w:pPr>
              <w:spacing w:line="360" w:lineRule="exact"/>
              <w:jc w:val="center"/>
              <w:textAlignment w:val="center"/>
              <w:rPr>
                <w:rStyle w:val="62"/>
                <w:rFonts w:hint="default"/>
                <w:color w:val="auto"/>
                <w:highlight w:val="none"/>
              </w:rPr>
            </w:pPr>
            <w:r>
              <w:rPr>
                <w:rStyle w:val="62"/>
                <w:rFonts w:hint="default"/>
                <w:color w:val="auto"/>
                <w:highlight w:val="none"/>
              </w:rPr>
              <w:t xml:space="preserve">  </w:t>
            </w:r>
          </w:p>
          <w:p>
            <w:pPr>
              <w:spacing w:line="360" w:lineRule="exact"/>
              <w:jc w:val="center"/>
              <w:textAlignment w:val="center"/>
              <w:rPr>
                <w:rFonts w:hint="eastAsia" w:ascii="宋体" w:hAnsi="宋体" w:cs="宋体"/>
                <w:color w:val="auto"/>
                <w:szCs w:val="21"/>
                <w:highlight w:val="none"/>
                <w:u w:val="single"/>
              </w:rPr>
            </w:pPr>
            <w:r>
              <w:rPr>
                <w:rStyle w:val="62"/>
                <w:rFonts w:hint="default"/>
                <w:color w:val="auto"/>
                <w:highlight w:val="none"/>
              </w:rPr>
              <w:t>年  月  日</w:t>
            </w:r>
          </w:p>
          <w:p>
            <w:pPr>
              <w:spacing w:line="360" w:lineRule="exact"/>
              <w:jc w:val="center"/>
              <w:rPr>
                <w:rFonts w:hint="eastAsia" w:ascii="宋体" w:hAnsi="宋体" w:cs="宋体"/>
                <w:color w:val="auto"/>
                <w:sz w:val="32"/>
                <w:szCs w:val="32"/>
                <w:highlight w:val="none"/>
              </w:rPr>
            </w:pPr>
            <w:r>
              <w:rPr>
                <w:rStyle w:val="62"/>
                <w:rFonts w:hint="default"/>
                <w:color w:val="auto"/>
                <w:highlight w:val="none"/>
              </w:rPr>
              <w:t>时   分</w:t>
            </w:r>
          </w:p>
        </w:tc>
        <w:tc>
          <w:tcPr>
            <w:tcW w:w="2150" w:type="dxa"/>
            <w:gridSpan w:val="2"/>
            <w:vMerge w:val="restart"/>
            <w:tcBorders>
              <w:top w:val="single" w:color="000000" w:sz="4" w:space="0"/>
              <w:left w:val="single" w:color="000000" w:sz="4" w:space="0"/>
              <w:right w:val="single" w:color="000000" w:sz="4" w:space="0"/>
            </w:tcBorders>
            <w:vAlign w:val="center"/>
          </w:tcPr>
          <w:p>
            <w:pPr>
              <w:spacing w:line="3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□是</w:t>
            </w:r>
          </w:p>
          <w:p>
            <w:pPr>
              <w:spacing w:line="360" w:lineRule="exact"/>
              <w:jc w:val="center"/>
              <w:textAlignment w:val="center"/>
              <w:rPr>
                <w:rFonts w:hint="eastAsia" w:ascii="宋体" w:hAnsi="宋体" w:cs="宋体"/>
                <w:color w:val="auto"/>
                <w:szCs w:val="21"/>
                <w:highlight w:val="none"/>
              </w:rPr>
            </w:pPr>
          </w:p>
          <w:p>
            <w:pPr>
              <w:spacing w:line="360" w:lineRule="exact"/>
              <w:jc w:val="center"/>
              <w:textAlignment w:val="center"/>
              <w:rPr>
                <w:rFonts w:hint="eastAsia" w:ascii="宋体" w:hAnsi="宋体" w:cs="宋体"/>
                <w:b/>
                <w:bCs/>
                <w:color w:val="auto"/>
                <w:szCs w:val="21"/>
                <w:highlight w:val="none"/>
              </w:rPr>
            </w:pPr>
            <w:r>
              <w:rPr>
                <w:rFonts w:hint="eastAsia" w:ascii="宋体" w:hAnsi="宋体" w:cs="宋体"/>
                <w:color w:val="auto"/>
                <w:szCs w:val="21"/>
                <w:highlight w:val="none"/>
              </w:rPr>
              <w:t>□否</w:t>
            </w:r>
          </w:p>
        </w:tc>
        <w:tc>
          <w:tcPr>
            <w:tcW w:w="2233" w:type="dxa"/>
            <w:tcBorders>
              <w:top w:val="single" w:color="000000" w:sz="4" w:space="0"/>
              <w:left w:val="single" w:color="000000" w:sz="4" w:space="0"/>
              <w:bottom w:val="single" w:color="000000" w:sz="4" w:space="0"/>
              <w:right w:val="single" w:color="000000" w:sz="4" w:space="0"/>
            </w:tcBorders>
          </w:tcPr>
          <w:p>
            <w:pPr>
              <w:spacing w:line="360" w:lineRule="exact"/>
              <w:jc w:val="left"/>
              <w:textAlignment w:val="center"/>
              <w:rPr>
                <w:rFonts w:hint="eastAsia" w:ascii="宋体" w:hAnsi="宋体" w:cs="宋体"/>
                <w:color w:val="auto"/>
                <w:szCs w:val="21"/>
                <w:highlight w:val="none"/>
                <w:u w:val="single"/>
              </w:rPr>
            </w:pPr>
            <w:r>
              <w:rPr>
                <w:rFonts w:hint="eastAsia" w:ascii="宋体" w:hAnsi="宋体" w:cs="宋体"/>
                <w:color w:val="auto"/>
                <w:szCs w:val="21"/>
                <w:highlight w:val="none"/>
              </w:rPr>
              <w:t>联系人：</w:t>
            </w:r>
          </w:p>
        </w:tc>
        <w:tc>
          <w:tcPr>
            <w:tcW w:w="2835" w:type="dxa"/>
            <w:gridSpan w:val="2"/>
            <w:vMerge w:val="restart"/>
            <w:tcBorders>
              <w:top w:val="single" w:color="000000" w:sz="4" w:space="0"/>
              <w:left w:val="single" w:color="000000" w:sz="4" w:space="0"/>
              <w:bottom w:val="single" w:color="000000" w:sz="4" w:space="0"/>
              <w:right w:val="single" w:color="000000" w:sz="4" w:space="0"/>
            </w:tcBorders>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供应商代表签字：</w:t>
            </w:r>
          </w:p>
          <w:p>
            <w:pPr>
              <w:spacing w:line="360" w:lineRule="exact"/>
              <w:jc w:val="left"/>
              <w:rPr>
                <w:rFonts w:hint="eastAsia" w:ascii="宋体" w:hAnsi="宋体" w:cs="宋体"/>
                <w:color w:val="auto"/>
                <w:sz w:val="32"/>
                <w:szCs w:val="32"/>
                <w:highlight w:val="none"/>
                <w:u w:val="single"/>
              </w:rPr>
            </w:pPr>
          </w:p>
        </w:tc>
        <w:tc>
          <w:tcPr>
            <w:tcW w:w="2494" w:type="dxa"/>
            <w:gridSpan w:val="2"/>
            <w:vMerge w:val="restart"/>
            <w:tcBorders>
              <w:top w:val="single" w:color="000000" w:sz="4" w:space="0"/>
              <w:left w:val="single" w:color="000000" w:sz="4" w:space="0"/>
              <w:right w:val="single" w:color="000000" w:sz="12" w:space="0"/>
            </w:tcBorders>
          </w:tcPr>
          <w:p>
            <w:pPr>
              <w:spacing w:line="360" w:lineRule="exact"/>
              <w:textAlignment w:val="center"/>
              <w:rPr>
                <w:rFonts w:hint="eastAsia" w:ascii="宋体" w:hAnsi="宋体" w:cs="宋体"/>
                <w:color w:val="auto"/>
                <w:szCs w:val="21"/>
                <w:highlight w:val="none"/>
              </w:rPr>
            </w:pPr>
          </w:p>
        </w:tc>
      </w:tr>
      <w:tr>
        <w:tblPrEx>
          <w:tblCellMar>
            <w:top w:w="15" w:type="dxa"/>
            <w:left w:w="15" w:type="dxa"/>
            <w:bottom w:w="15" w:type="dxa"/>
            <w:right w:w="15" w:type="dxa"/>
          </w:tblCellMar>
        </w:tblPrEx>
        <w:trPr>
          <w:trHeight w:val="467" w:hRule="atLeast"/>
        </w:trPr>
        <w:tc>
          <w:tcPr>
            <w:tcW w:w="1808" w:type="dxa"/>
            <w:gridSpan w:val="2"/>
            <w:vMerge w:val="continue"/>
            <w:tcBorders>
              <w:top w:val="dashSmallGap" w:color="000000" w:sz="4" w:space="0"/>
              <w:left w:val="dashSmallGap" w:color="000000" w:sz="4" w:space="0"/>
              <w:bottom w:val="dashSmallGap" w:color="000000" w:sz="4" w:space="0"/>
              <w:right w:val="dashSmallGap" w:color="000000" w:sz="4" w:space="0"/>
            </w:tcBorders>
            <w:vAlign w:val="center"/>
          </w:tcPr>
          <w:p>
            <w:pPr>
              <w:spacing w:line="360" w:lineRule="exact"/>
              <w:rPr>
                <w:rFonts w:hint="eastAsia" w:ascii="宋体" w:hAnsi="宋体" w:cs="宋体"/>
                <w:color w:val="auto"/>
                <w:szCs w:val="21"/>
                <w:highlight w:val="none"/>
              </w:rPr>
            </w:pPr>
          </w:p>
        </w:tc>
        <w:tc>
          <w:tcPr>
            <w:tcW w:w="1747" w:type="dxa"/>
            <w:gridSpan w:val="2"/>
            <w:vMerge w:val="continue"/>
            <w:tcBorders>
              <w:top w:val="single" w:color="000000" w:sz="4" w:space="0"/>
              <w:left w:val="dashSmallGap" w:color="000000" w:sz="4" w:space="0"/>
              <w:bottom w:val="single" w:color="000000" w:sz="4" w:space="0"/>
              <w:right w:val="single" w:color="000000" w:sz="4" w:space="0"/>
            </w:tcBorders>
          </w:tcPr>
          <w:p>
            <w:pPr>
              <w:spacing w:line="360" w:lineRule="exact"/>
              <w:jc w:val="center"/>
              <w:rPr>
                <w:rFonts w:hint="eastAsia" w:ascii="宋体" w:hAnsi="宋体" w:cs="宋体"/>
                <w:color w:val="auto"/>
                <w:sz w:val="32"/>
                <w:szCs w:val="32"/>
                <w:highlight w:val="none"/>
              </w:rPr>
            </w:pPr>
          </w:p>
        </w:tc>
        <w:tc>
          <w:tcPr>
            <w:tcW w:w="2150" w:type="dxa"/>
            <w:gridSpan w:val="2"/>
            <w:vMerge w:val="continue"/>
            <w:tcBorders>
              <w:left w:val="single" w:color="000000" w:sz="4" w:space="0"/>
              <w:right w:val="single" w:color="000000" w:sz="4" w:space="0"/>
            </w:tcBorders>
            <w:vAlign w:val="center"/>
          </w:tcPr>
          <w:p>
            <w:pPr>
              <w:spacing w:line="360" w:lineRule="exact"/>
              <w:textAlignment w:val="center"/>
              <w:rPr>
                <w:rFonts w:hint="eastAsia" w:ascii="宋体" w:hAnsi="宋体" w:cs="宋体"/>
                <w:color w:val="auto"/>
                <w:szCs w:val="21"/>
                <w:highlight w:val="none"/>
              </w:rPr>
            </w:pPr>
          </w:p>
        </w:tc>
        <w:tc>
          <w:tcPr>
            <w:tcW w:w="2233" w:type="dxa"/>
            <w:tcBorders>
              <w:top w:val="single" w:color="000000" w:sz="4" w:space="0"/>
              <w:left w:val="single" w:color="000000" w:sz="4" w:space="0"/>
              <w:bottom w:val="single" w:color="000000" w:sz="4" w:space="0"/>
              <w:right w:val="single" w:color="000000" w:sz="4" w:space="0"/>
            </w:tcBorders>
          </w:tcPr>
          <w:p>
            <w:pPr>
              <w:spacing w:line="360" w:lineRule="exact"/>
              <w:jc w:val="left"/>
              <w:textAlignment w:val="center"/>
              <w:rPr>
                <w:rFonts w:hint="eastAsia" w:ascii="宋体" w:hAnsi="宋体" w:cs="宋体"/>
                <w:b/>
                <w:bCs/>
                <w:color w:val="auto"/>
                <w:szCs w:val="21"/>
                <w:highlight w:val="none"/>
                <w:u w:val="single"/>
              </w:rPr>
            </w:pPr>
            <w:r>
              <w:rPr>
                <w:rFonts w:hint="eastAsia" w:ascii="宋体" w:hAnsi="宋体" w:cs="宋体"/>
                <w:color w:val="auto"/>
                <w:szCs w:val="21"/>
                <w:highlight w:val="none"/>
              </w:rPr>
              <w:t>电话：</w:t>
            </w:r>
          </w:p>
        </w:tc>
        <w:tc>
          <w:tcPr>
            <w:tcW w:w="2835" w:type="dxa"/>
            <w:gridSpan w:val="2"/>
            <w:vMerge w:val="continue"/>
            <w:tcBorders>
              <w:top w:val="single" w:color="000000" w:sz="4" w:space="0"/>
              <w:left w:val="single" w:color="000000" w:sz="4" w:space="0"/>
              <w:bottom w:val="single" w:color="000000" w:sz="4" w:space="0"/>
              <w:right w:val="single" w:color="000000" w:sz="4" w:space="0"/>
            </w:tcBorders>
          </w:tcPr>
          <w:p>
            <w:pPr>
              <w:spacing w:line="360" w:lineRule="exact"/>
              <w:jc w:val="center"/>
              <w:rPr>
                <w:rFonts w:hint="eastAsia" w:ascii="宋体" w:hAnsi="宋体" w:cs="宋体"/>
                <w:color w:val="auto"/>
                <w:sz w:val="32"/>
                <w:szCs w:val="32"/>
                <w:highlight w:val="none"/>
              </w:rPr>
            </w:pPr>
          </w:p>
        </w:tc>
        <w:tc>
          <w:tcPr>
            <w:tcW w:w="2494" w:type="dxa"/>
            <w:gridSpan w:val="2"/>
            <w:vMerge w:val="continue"/>
            <w:tcBorders>
              <w:left w:val="single" w:color="000000" w:sz="4" w:space="0"/>
              <w:right w:val="single" w:color="000000" w:sz="12" w:space="0"/>
            </w:tcBorders>
          </w:tcPr>
          <w:p>
            <w:pPr>
              <w:spacing w:line="360" w:lineRule="exact"/>
              <w:textAlignment w:val="center"/>
              <w:rPr>
                <w:rFonts w:hint="eastAsia" w:ascii="宋体" w:hAnsi="宋体" w:cs="宋体"/>
                <w:color w:val="auto"/>
                <w:szCs w:val="21"/>
                <w:highlight w:val="none"/>
              </w:rPr>
            </w:pPr>
          </w:p>
        </w:tc>
      </w:tr>
      <w:tr>
        <w:tblPrEx>
          <w:tblCellMar>
            <w:top w:w="15" w:type="dxa"/>
            <w:left w:w="15" w:type="dxa"/>
            <w:bottom w:w="15" w:type="dxa"/>
            <w:right w:w="15" w:type="dxa"/>
          </w:tblCellMar>
        </w:tblPrEx>
        <w:trPr>
          <w:trHeight w:val="509" w:hRule="atLeast"/>
        </w:trPr>
        <w:tc>
          <w:tcPr>
            <w:tcW w:w="1808" w:type="dxa"/>
            <w:gridSpan w:val="2"/>
            <w:vMerge w:val="continue"/>
            <w:tcBorders>
              <w:top w:val="dashSmallGap" w:color="000000" w:sz="4" w:space="0"/>
              <w:left w:val="dashSmallGap" w:color="000000" w:sz="4" w:space="0"/>
              <w:bottom w:val="dashSmallGap" w:color="000000" w:sz="4" w:space="0"/>
              <w:right w:val="dashSmallGap" w:color="000000" w:sz="4" w:space="0"/>
            </w:tcBorders>
            <w:vAlign w:val="center"/>
          </w:tcPr>
          <w:p>
            <w:pPr>
              <w:spacing w:line="360" w:lineRule="exact"/>
              <w:rPr>
                <w:rFonts w:hint="eastAsia" w:ascii="宋体" w:hAnsi="宋体" w:cs="宋体"/>
                <w:color w:val="auto"/>
                <w:szCs w:val="21"/>
                <w:highlight w:val="none"/>
              </w:rPr>
            </w:pPr>
          </w:p>
        </w:tc>
        <w:tc>
          <w:tcPr>
            <w:tcW w:w="1747" w:type="dxa"/>
            <w:gridSpan w:val="2"/>
            <w:vMerge w:val="continue"/>
            <w:tcBorders>
              <w:top w:val="single" w:color="000000" w:sz="4" w:space="0"/>
              <w:left w:val="dashSmallGap" w:color="000000" w:sz="4" w:space="0"/>
              <w:bottom w:val="single" w:color="000000" w:sz="4" w:space="0"/>
              <w:right w:val="single" w:color="000000" w:sz="4" w:space="0"/>
            </w:tcBorders>
          </w:tcPr>
          <w:p>
            <w:pPr>
              <w:spacing w:line="360" w:lineRule="exact"/>
              <w:jc w:val="center"/>
              <w:rPr>
                <w:rFonts w:hint="eastAsia" w:ascii="宋体" w:hAnsi="宋体" w:cs="宋体"/>
                <w:color w:val="auto"/>
                <w:sz w:val="32"/>
                <w:szCs w:val="32"/>
                <w:highlight w:val="none"/>
              </w:rPr>
            </w:pPr>
          </w:p>
        </w:tc>
        <w:tc>
          <w:tcPr>
            <w:tcW w:w="2150" w:type="dxa"/>
            <w:gridSpan w:val="2"/>
            <w:vMerge w:val="continue"/>
            <w:tcBorders>
              <w:left w:val="single" w:color="000000" w:sz="4" w:space="0"/>
              <w:bottom w:val="nil"/>
              <w:right w:val="single" w:color="000000" w:sz="4" w:space="0"/>
            </w:tcBorders>
            <w:vAlign w:val="center"/>
          </w:tcPr>
          <w:p>
            <w:pPr>
              <w:spacing w:line="360" w:lineRule="exact"/>
              <w:textAlignment w:val="center"/>
              <w:rPr>
                <w:rFonts w:hint="eastAsia" w:ascii="宋体" w:hAnsi="宋体" w:cs="宋体"/>
                <w:color w:val="auto"/>
                <w:szCs w:val="21"/>
                <w:highlight w:val="none"/>
              </w:rPr>
            </w:pPr>
          </w:p>
        </w:tc>
        <w:tc>
          <w:tcPr>
            <w:tcW w:w="2233" w:type="dxa"/>
            <w:tcBorders>
              <w:top w:val="single" w:color="000000" w:sz="4" w:space="0"/>
              <w:left w:val="single" w:color="000000" w:sz="4" w:space="0"/>
              <w:bottom w:val="single" w:color="000000" w:sz="4" w:space="0"/>
              <w:right w:val="single" w:color="000000" w:sz="4" w:space="0"/>
            </w:tcBorders>
          </w:tcPr>
          <w:p>
            <w:pPr>
              <w:spacing w:line="360" w:lineRule="exact"/>
              <w:jc w:val="left"/>
              <w:textAlignment w:val="center"/>
              <w:rPr>
                <w:rFonts w:hint="eastAsia" w:ascii="宋体" w:hAnsi="宋体" w:cs="宋体"/>
                <w:color w:val="auto"/>
                <w:szCs w:val="21"/>
                <w:highlight w:val="none"/>
                <w:u w:val="single"/>
              </w:rPr>
            </w:pPr>
            <w:r>
              <w:rPr>
                <w:rFonts w:hint="eastAsia" w:ascii="宋体" w:hAnsi="宋体" w:cs="宋体"/>
                <w:color w:val="auto"/>
                <w:szCs w:val="21"/>
                <w:highlight w:val="none"/>
              </w:rPr>
              <w:t>邮箱：</w:t>
            </w:r>
          </w:p>
        </w:tc>
        <w:tc>
          <w:tcPr>
            <w:tcW w:w="2835" w:type="dxa"/>
            <w:gridSpan w:val="2"/>
            <w:vMerge w:val="continue"/>
            <w:tcBorders>
              <w:top w:val="single" w:color="000000" w:sz="4" w:space="0"/>
              <w:left w:val="single" w:color="000000" w:sz="4" w:space="0"/>
              <w:bottom w:val="single" w:color="000000" w:sz="4" w:space="0"/>
              <w:right w:val="single" w:color="000000" w:sz="4" w:space="0"/>
            </w:tcBorders>
          </w:tcPr>
          <w:p>
            <w:pPr>
              <w:spacing w:line="360" w:lineRule="exact"/>
              <w:jc w:val="center"/>
              <w:rPr>
                <w:rFonts w:hint="eastAsia" w:ascii="宋体" w:hAnsi="宋体" w:cs="宋体"/>
                <w:color w:val="auto"/>
                <w:sz w:val="32"/>
                <w:szCs w:val="32"/>
                <w:highlight w:val="none"/>
              </w:rPr>
            </w:pPr>
          </w:p>
        </w:tc>
        <w:tc>
          <w:tcPr>
            <w:tcW w:w="2494" w:type="dxa"/>
            <w:gridSpan w:val="2"/>
            <w:vMerge w:val="continue"/>
            <w:tcBorders>
              <w:left w:val="single" w:color="000000" w:sz="4" w:space="0"/>
              <w:bottom w:val="nil"/>
              <w:right w:val="single" w:color="000000" w:sz="12" w:space="0"/>
            </w:tcBorders>
          </w:tcPr>
          <w:p>
            <w:pPr>
              <w:spacing w:line="360" w:lineRule="exact"/>
              <w:textAlignment w:val="center"/>
              <w:rPr>
                <w:rFonts w:hint="eastAsia" w:ascii="宋体" w:hAnsi="宋体" w:cs="宋体"/>
                <w:color w:val="auto"/>
                <w:szCs w:val="21"/>
                <w:highlight w:val="none"/>
              </w:rPr>
            </w:pPr>
          </w:p>
        </w:tc>
      </w:tr>
      <w:tr>
        <w:tblPrEx>
          <w:tblCellMar>
            <w:top w:w="15" w:type="dxa"/>
            <w:left w:w="15" w:type="dxa"/>
            <w:bottom w:w="15" w:type="dxa"/>
            <w:right w:w="15" w:type="dxa"/>
          </w:tblCellMar>
        </w:tblPrEx>
        <w:trPr>
          <w:trHeight w:val="533" w:hRule="atLeast"/>
        </w:trPr>
        <w:tc>
          <w:tcPr>
            <w:tcW w:w="1276" w:type="dxa"/>
            <w:tcBorders>
              <w:top w:val="single" w:color="000000" w:sz="12" w:space="0"/>
            </w:tcBorders>
            <w:vAlign w:val="center"/>
          </w:tcPr>
          <w:p>
            <w:pPr>
              <w:spacing w:line="360" w:lineRule="exact"/>
              <w:textAlignment w:val="center"/>
              <w:rPr>
                <w:rFonts w:hint="eastAsia" w:ascii="宋体" w:hAnsi="宋体" w:cs="宋体"/>
                <w:color w:val="auto"/>
                <w:highlight w:val="none"/>
              </w:rPr>
            </w:pPr>
          </w:p>
        </w:tc>
        <w:tc>
          <w:tcPr>
            <w:tcW w:w="11991" w:type="dxa"/>
            <w:gridSpan w:val="10"/>
            <w:tcBorders>
              <w:top w:val="single" w:color="000000" w:sz="12" w:space="0"/>
            </w:tcBorders>
            <w:vAlign w:val="center"/>
          </w:tcPr>
          <w:p>
            <w:pPr>
              <w:spacing w:line="360" w:lineRule="exact"/>
              <w:rPr>
                <w:rFonts w:hint="eastAsia" w:ascii="宋体" w:hAnsi="宋体" w:cs="宋体"/>
                <w:color w:val="auto"/>
                <w:highlight w:val="none"/>
                <w:u w:val="single"/>
              </w:rPr>
            </w:pPr>
          </w:p>
        </w:tc>
      </w:tr>
      <w:tr>
        <w:tblPrEx>
          <w:tblCellMar>
            <w:top w:w="15" w:type="dxa"/>
            <w:left w:w="15" w:type="dxa"/>
            <w:bottom w:w="15" w:type="dxa"/>
            <w:right w:w="15" w:type="dxa"/>
          </w:tblCellMar>
        </w:tblPrEx>
        <w:trPr>
          <w:trHeight w:val="737" w:hRule="atLeast"/>
        </w:trPr>
        <w:tc>
          <w:tcPr>
            <w:tcW w:w="13267" w:type="dxa"/>
            <w:gridSpan w:val="11"/>
            <w:vAlign w:val="bottom"/>
          </w:tcPr>
          <w:p>
            <w:pPr>
              <w:spacing w:line="360" w:lineRule="exact"/>
              <w:textAlignment w:val="bottom"/>
              <w:rPr>
                <w:rFonts w:hint="eastAsia" w:ascii="宋体" w:hAnsi="宋体" w:cs="宋体"/>
                <w:color w:val="auto"/>
                <w:highlight w:val="none"/>
              </w:rPr>
            </w:pPr>
            <w:r>
              <w:rPr>
                <w:rFonts w:hint="eastAsia" w:ascii="宋体" w:hAnsi="宋体" w:cs="宋体"/>
                <w:color w:val="auto"/>
                <w:highlight w:val="none"/>
              </w:rPr>
              <w:t>备注：请以正楷字填写各项目内容，“递交时间”、“联系方式”请在现场签收时填写。我公司将向供应商出具响应文件签收回执，请供应商代表在“签收回执确认”签字确认。</w:t>
            </w:r>
          </w:p>
        </w:tc>
      </w:tr>
    </w:tbl>
    <w:p>
      <w:pPr>
        <w:widowControl/>
        <w:spacing w:line="360" w:lineRule="exact"/>
        <w:jc w:val="left"/>
        <w:rPr>
          <w:rFonts w:hint="eastAsia" w:ascii="宋体" w:hAnsi="宋体" w:cs="宋体"/>
          <w:color w:val="auto"/>
          <w:sz w:val="24"/>
          <w:highlight w:val="none"/>
        </w:rPr>
        <w:sectPr>
          <w:headerReference r:id="rId13" w:type="default"/>
          <w:pgSz w:w="16840" w:h="11907" w:orient="landscape"/>
          <w:pgMar w:top="1800" w:right="1440" w:bottom="1800" w:left="1440" w:header="851" w:footer="992" w:gutter="0"/>
          <w:pgNumType w:fmt="decimal"/>
          <w:cols w:space="425" w:num="1"/>
          <w:docGrid w:linePitch="312" w:charSpace="0"/>
        </w:sectPr>
      </w:pPr>
    </w:p>
    <w:p>
      <w:pPr>
        <w:widowControl/>
        <w:spacing w:line="360" w:lineRule="exact"/>
        <w:jc w:val="left"/>
        <w:rPr>
          <w:rFonts w:hint="eastAsia" w:ascii="宋体" w:hAnsi="宋体" w:cs="宋体"/>
          <w:color w:val="auto"/>
          <w:sz w:val="24"/>
          <w:highlight w:val="none"/>
        </w:rPr>
      </w:pPr>
    </w:p>
    <w:sectPr>
      <w:footerReference r:id="rId14" w:type="default"/>
      <w:pgSz w:w="16840" w:h="11907" w:orient="landscape"/>
      <w:pgMar w:top="1800" w:right="1440" w:bottom="1800" w:left="144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Eʩ">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6"/>
                      <w:jc w:val="center"/>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30"/>
      </w:rPr>
    </w:pPr>
    <w:r>
      <w:rPr>
        <w:rStyle w:val="30"/>
      </w:rPr>
      <w:fldChar w:fldCharType="begin"/>
    </w:r>
    <w:r>
      <w:rPr>
        <w:rStyle w:val="30"/>
      </w:rPr>
      <w:instrText xml:space="preserve">PAGE  </w:instrText>
    </w:r>
    <w:r>
      <w:rPr>
        <w:rStyle w:val="30"/>
      </w:rPr>
      <w:fldChar w:fldCharType="separate"/>
    </w:r>
    <w:r>
      <w:rPr>
        <w:rStyle w:val="30"/>
      </w:rPr>
      <w:t>20</w:t>
    </w:r>
    <w:r>
      <w:rPr>
        <w:rStyle w:val="30"/>
      </w:rPr>
      <w:fldChar w:fldCharType="end"/>
    </w:r>
  </w:p>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t xml:space="preserve"> —</w:t>
                    </w: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page">
                <wp:posOffset>3681095</wp:posOffset>
              </wp:positionH>
              <wp:positionV relativeFrom="page">
                <wp:posOffset>9917430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89.85pt;margin-top:780.9pt;height:144pt;width:144pt;mso-position-horizontal-relative:page;mso-position-vertical-relative:page;mso-wrap-style:none;z-index:251661312;mso-width-relative:page;mso-height-relative:page;" filled="f" stroked="f" coordsize="21600,21600" o:gfxdata="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nPbp2QAAAA0BAAAPAAAAAAAAAAEAIAAAACIAAABkcnMvZG93bnJldi54bWxQSwEC&#10;FAAUAAAACACHTuJAnroL+ywCAABVBAAADgAAAAAAAAABACAAAAAoAQAAZHJzL2Uyb0RvYy54bWxQ&#10;SwUGAAAAAAYABgBZAQAAxgUAAAAA&#10;">
              <v:fill on="f" focussize="0,0"/>
              <v:stroke on="f" weight="0.5pt"/>
              <v:imagedata o:title=""/>
              <o:lock v:ext="edit" aspectratio="f"/>
              <v:textbox inset="0mm,0mm,0mm,0mm" style="mso-fit-shape-to-text:t;">
                <w:txbxContent>
                  <w:p>
                    <w:pPr>
                      <w:pStyle w:val="16"/>
                      <w:jc w:val="center"/>
                    </w:pPr>
                  </w:p>
                </w:txbxContent>
              </v:textbox>
            </v:shape>
          </w:pict>
        </mc:Fallback>
      </mc:AlternateContent>
    </w:r>
  </w:p>
  <w:p>
    <w:pPr>
      <w:pStyle w:val="16"/>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30"/>
      </w:rPr>
    </w:pPr>
    <w:r>
      <w:rPr>
        <w:rStyle w:val="30"/>
      </w:rPr>
      <w:fldChar w:fldCharType="begin"/>
    </w:r>
    <w:r>
      <w:rPr>
        <w:rStyle w:val="30"/>
      </w:rPr>
      <w:instrText xml:space="preserve">PAGE  </w:instrText>
    </w:r>
    <w:r>
      <w:rPr>
        <w:rStyle w:val="30"/>
      </w:rPr>
      <w:fldChar w:fldCharType="separate"/>
    </w:r>
    <w:r>
      <w:rPr>
        <w:rStyle w:val="30"/>
      </w:rPr>
      <w:t>56</w:t>
    </w:r>
    <w:r>
      <w:rPr>
        <w:rStyle w:val="30"/>
      </w:rPr>
      <w:fldChar w:fldCharType="end"/>
    </w:r>
  </w:p>
  <w:p>
    <w:pPr>
      <w:pStyle w:val="16"/>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5359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5359400"/>
                      </a:xfrm>
                      <a:prstGeom prst="rect">
                        <a:avLst/>
                      </a:prstGeom>
                      <a:noFill/>
                      <a:ln>
                        <a:noFill/>
                      </a:ln>
                    </wps:spPr>
                    <wps:txbx>
                      <w:txbxContent>
                        <w:p>
                          <w:pPr>
                            <w:snapToGrid w:val="0"/>
                            <w:rPr>
                              <w:rFonts w:hint="eastAsia" w:ascii="宋体" w:hAnsi="宋体" w:cs="宋体"/>
                              <w:sz w:val="24"/>
                            </w:rPr>
                          </w:pP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422pt;width:144pt;mso-position-horizontal:outside;mso-position-horizontal-relative:margin;mso-wrap-style:none;z-index:251661312;mso-width-relative:page;mso-height-relative:page;" filled="f" stroked="f" coordsize="21600,21600" o:gfxdata="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HZXytIAAAAFAQAADwAAAAAAAAABACAAAAAiAAAAZHJzL2Rv&#10;d25yZXYueG1sUEsBAhQAFAAAAAgAh07iQD0I2xHOAQAAmQMAAA4AAAAAAAAAAQAgAAAAIQEAAGRy&#10;cy9lMm9Eb2MueG1sUEsFBgAAAAAGAAYAWQEAAGEFAAAAAA==&#10;">
              <v:fill on="f" focussize="0,0"/>
              <v:stroke on="f"/>
              <v:imagedata o:title=""/>
              <o:lock v:ext="edit" aspectratio="f"/>
              <v:textbox inset="0mm,0mm,0mm,0mm" style="mso-fit-shape-to-text:t;">
                <w:txbxContent>
                  <w:p>
                    <w:pPr>
                      <w:snapToGrid w:val="0"/>
                      <w:rPr>
                        <w:rFonts w:hint="eastAsia" w:ascii="宋体" w:hAnsi="宋体" w:cs="宋体"/>
                        <w:sz w:val="24"/>
                      </w:rPr>
                    </w:pP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6"/>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 </w:t>
                          </w:r>
                          <w:r>
                            <w:fldChar w:fldCharType="begin"/>
                          </w:r>
                          <w:r>
                            <w:instrText xml:space="preserve"> PAGE  \* MERGEFORMAT </w:instrText>
                          </w:r>
                          <w:r>
                            <w:fldChar w:fldCharType="separate"/>
                          </w:r>
                          <w:r>
                            <w:t>29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6"/>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090705"/>
    <w:multiLevelType w:val="singleLevel"/>
    <w:tmpl w:val="56090705"/>
    <w:lvl w:ilvl="0" w:tentative="0">
      <w:start w:val="1"/>
      <w:numFmt w:val="decimal"/>
      <w:suff w:val="space"/>
      <w:lvlText w:val="%1."/>
      <w:lvlJc w:val="left"/>
    </w:lvl>
  </w:abstractNum>
  <w:abstractNum w:abstractNumId="1">
    <w:nsid w:val="56090B11"/>
    <w:multiLevelType w:val="singleLevel"/>
    <w:tmpl w:val="56090B11"/>
    <w:lvl w:ilvl="0" w:tentative="0">
      <w:start w:val="4"/>
      <w:numFmt w:val="decimal"/>
      <w:suff w:val="space"/>
      <w:lvlText w:val="%1."/>
      <w:lvlJc w:val="left"/>
    </w:lvl>
  </w:abstractNum>
  <w:abstractNum w:abstractNumId="2">
    <w:nsid w:val="56090CC2"/>
    <w:multiLevelType w:val="singleLevel"/>
    <w:tmpl w:val="56090CC2"/>
    <w:lvl w:ilvl="0" w:tentative="0">
      <w:start w:val="8"/>
      <w:numFmt w:val="decimal"/>
      <w:suff w:val="nothing"/>
      <w:lvlText w:val="%1."/>
      <w:lvlJc w:val="left"/>
    </w:lvl>
  </w:abstractNum>
  <w:abstractNum w:abstractNumId="3">
    <w:nsid w:val="56090DE9"/>
    <w:multiLevelType w:val="singleLevel"/>
    <w:tmpl w:val="56090DE9"/>
    <w:lvl w:ilvl="0" w:tentative="0">
      <w:start w:val="1"/>
      <w:numFmt w:val="decimal"/>
      <w:suff w:val="space"/>
      <w:lvlText w:val="%1."/>
      <w:lvlJc w:val="left"/>
    </w:lvl>
  </w:abstractNum>
  <w:abstractNum w:abstractNumId="4">
    <w:nsid w:val="5609101F"/>
    <w:multiLevelType w:val="singleLevel"/>
    <w:tmpl w:val="5609101F"/>
    <w:lvl w:ilvl="0" w:tentative="0">
      <w:start w:val="5"/>
      <w:numFmt w:val="decimal"/>
      <w:suff w:val="space"/>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 w:name="KSO_WPS_MARK_KEY" w:val="804891f5-474d-42c4-ae6b-98d80976f4bc"/>
  </w:docVars>
  <w:rsids>
    <w:rsidRoot w:val="005C0EA6"/>
    <w:rsid w:val="00000EAB"/>
    <w:rsid w:val="00001B5C"/>
    <w:rsid w:val="0000214D"/>
    <w:rsid w:val="00007FBD"/>
    <w:rsid w:val="000138F3"/>
    <w:rsid w:val="00014361"/>
    <w:rsid w:val="00016800"/>
    <w:rsid w:val="00020454"/>
    <w:rsid w:val="00026D17"/>
    <w:rsid w:val="00043232"/>
    <w:rsid w:val="000432CB"/>
    <w:rsid w:val="00074A90"/>
    <w:rsid w:val="00077C9A"/>
    <w:rsid w:val="00077D08"/>
    <w:rsid w:val="00081EE5"/>
    <w:rsid w:val="00086AC5"/>
    <w:rsid w:val="00092036"/>
    <w:rsid w:val="00094E51"/>
    <w:rsid w:val="00097EE5"/>
    <w:rsid w:val="000B4EF4"/>
    <w:rsid w:val="000B5A78"/>
    <w:rsid w:val="000C0EC3"/>
    <w:rsid w:val="000C5839"/>
    <w:rsid w:val="000E2676"/>
    <w:rsid w:val="000E3A9F"/>
    <w:rsid w:val="000F5A84"/>
    <w:rsid w:val="00107619"/>
    <w:rsid w:val="001131C2"/>
    <w:rsid w:val="00115E33"/>
    <w:rsid w:val="00127E9A"/>
    <w:rsid w:val="00133705"/>
    <w:rsid w:val="00135018"/>
    <w:rsid w:val="0014070D"/>
    <w:rsid w:val="00142D17"/>
    <w:rsid w:val="00151D56"/>
    <w:rsid w:val="001525FA"/>
    <w:rsid w:val="00154B78"/>
    <w:rsid w:val="00162C77"/>
    <w:rsid w:val="00175E69"/>
    <w:rsid w:val="00184E49"/>
    <w:rsid w:val="0019319B"/>
    <w:rsid w:val="0019503F"/>
    <w:rsid w:val="001957C3"/>
    <w:rsid w:val="001A1FC2"/>
    <w:rsid w:val="001A4AFB"/>
    <w:rsid w:val="001A6D32"/>
    <w:rsid w:val="001B4123"/>
    <w:rsid w:val="001B5F28"/>
    <w:rsid w:val="001C4CD8"/>
    <w:rsid w:val="001D679E"/>
    <w:rsid w:val="001E32AA"/>
    <w:rsid w:val="001E5748"/>
    <w:rsid w:val="0020589B"/>
    <w:rsid w:val="00205E6A"/>
    <w:rsid w:val="0020613C"/>
    <w:rsid w:val="00212189"/>
    <w:rsid w:val="00215BDA"/>
    <w:rsid w:val="002163B6"/>
    <w:rsid w:val="002177FD"/>
    <w:rsid w:val="00221568"/>
    <w:rsid w:val="00225497"/>
    <w:rsid w:val="0023741E"/>
    <w:rsid w:val="00237EF9"/>
    <w:rsid w:val="00240604"/>
    <w:rsid w:val="002439C1"/>
    <w:rsid w:val="00251192"/>
    <w:rsid w:val="002541F8"/>
    <w:rsid w:val="0025658D"/>
    <w:rsid w:val="00260085"/>
    <w:rsid w:val="00260AC3"/>
    <w:rsid w:val="0026120B"/>
    <w:rsid w:val="00265EC3"/>
    <w:rsid w:val="002701A9"/>
    <w:rsid w:val="002871AE"/>
    <w:rsid w:val="002947BF"/>
    <w:rsid w:val="002975AB"/>
    <w:rsid w:val="002A1FB8"/>
    <w:rsid w:val="002B472E"/>
    <w:rsid w:val="002B7E0C"/>
    <w:rsid w:val="002C00BB"/>
    <w:rsid w:val="002C6F65"/>
    <w:rsid w:val="002D20A2"/>
    <w:rsid w:val="002D3345"/>
    <w:rsid w:val="002D417D"/>
    <w:rsid w:val="002E06ED"/>
    <w:rsid w:val="002E0D00"/>
    <w:rsid w:val="002E49E1"/>
    <w:rsid w:val="002E5CC0"/>
    <w:rsid w:val="002F10A3"/>
    <w:rsid w:val="0030200D"/>
    <w:rsid w:val="0030436B"/>
    <w:rsid w:val="003101E9"/>
    <w:rsid w:val="003106DE"/>
    <w:rsid w:val="003112D0"/>
    <w:rsid w:val="00312C09"/>
    <w:rsid w:val="003134F5"/>
    <w:rsid w:val="003219CD"/>
    <w:rsid w:val="00322094"/>
    <w:rsid w:val="00332D6C"/>
    <w:rsid w:val="003344E3"/>
    <w:rsid w:val="00335767"/>
    <w:rsid w:val="00337099"/>
    <w:rsid w:val="00343BFA"/>
    <w:rsid w:val="00344410"/>
    <w:rsid w:val="00350756"/>
    <w:rsid w:val="003602E2"/>
    <w:rsid w:val="00362DF3"/>
    <w:rsid w:val="00363603"/>
    <w:rsid w:val="00375C80"/>
    <w:rsid w:val="00377206"/>
    <w:rsid w:val="00380BFA"/>
    <w:rsid w:val="0039525C"/>
    <w:rsid w:val="003B52F9"/>
    <w:rsid w:val="003D30AD"/>
    <w:rsid w:val="003E4F33"/>
    <w:rsid w:val="003E556B"/>
    <w:rsid w:val="003E6038"/>
    <w:rsid w:val="003E758D"/>
    <w:rsid w:val="003F0CEF"/>
    <w:rsid w:val="003F0DD5"/>
    <w:rsid w:val="003F111E"/>
    <w:rsid w:val="003F6368"/>
    <w:rsid w:val="003F7ABF"/>
    <w:rsid w:val="004047AF"/>
    <w:rsid w:val="00406C40"/>
    <w:rsid w:val="0040704A"/>
    <w:rsid w:val="00414F24"/>
    <w:rsid w:val="0042786B"/>
    <w:rsid w:val="004309F4"/>
    <w:rsid w:val="00434BAA"/>
    <w:rsid w:val="00437522"/>
    <w:rsid w:val="00443432"/>
    <w:rsid w:val="00444158"/>
    <w:rsid w:val="00445E82"/>
    <w:rsid w:val="0045566F"/>
    <w:rsid w:val="00460917"/>
    <w:rsid w:val="00471979"/>
    <w:rsid w:val="00472335"/>
    <w:rsid w:val="004745CD"/>
    <w:rsid w:val="0048267D"/>
    <w:rsid w:val="0048768C"/>
    <w:rsid w:val="004928E9"/>
    <w:rsid w:val="004940D4"/>
    <w:rsid w:val="004A7F76"/>
    <w:rsid w:val="004C5F04"/>
    <w:rsid w:val="004C64BD"/>
    <w:rsid w:val="004D4FAE"/>
    <w:rsid w:val="004E3E7B"/>
    <w:rsid w:val="004E5999"/>
    <w:rsid w:val="004E6E5F"/>
    <w:rsid w:val="004E75F7"/>
    <w:rsid w:val="004F79D1"/>
    <w:rsid w:val="00505CE6"/>
    <w:rsid w:val="00513AE6"/>
    <w:rsid w:val="005178AA"/>
    <w:rsid w:val="005205F6"/>
    <w:rsid w:val="00526947"/>
    <w:rsid w:val="00531807"/>
    <w:rsid w:val="00534311"/>
    <w:rsid w:val="00535F82"/>
    <w:rsid w:val="00537328"/>
    <w:rsid w:val="005407E2"/>
    <w:rsid w:val="00543412"/>
    <w:rsid w:val="005437AE"/>
    <w:rsid w:val="0055009C"/>
    <w:rsid w:val="0055101B"/>
    <w:rsid w:val="005605FF"/>
    <w:rsid w:val="00562D28"/>
    <w:rsid w:val="0056689A"/>
    <w:rsid w:val="00573EB6"/>
    <w:rsid w:val="00583036"/>
    <w:rsid w:val="0058414B"/>
    <w:rsid w:val="005846B7"/>
    <w:rsid w:val="0058524D"/>
    <w:rsid w:val="00593055"/>
    <w:rsid w:val="005933F3"/>
    <w:rsid w:val="005946C0"/>
    <w:rsid w:val="005958C9"/>
    <w:rsid w:val="005A5452"/>
    <w:rsid w:val="005A5E85"/>
    <w:rsid w:val="005A6FD5"/>
    <w:rsid w:val="005A7EE6"/>
    <w:rsid w:val="005B08A5"/>
    <w:rsid w:val="005C0EA6"/>
    <w:rsid w:val="005C770F"/>
    <w:rsid w:val="005D54CB"/>
    <w:rsid w:val="005D7454"/>
    <w:rsid w:val="005E6714"/>
    <w:rsid w:val="005E6F1B"/>
    <w:rsid w:val="005F0B1A"/>
    <w:rsid w:val="005F22A3"/>
    <w:rsid w:val="005F693B"/>
    <w:rsid w:val="0060062A"/>
    <w:rsid w:val="00601061"/>
    <w:rsid w:val="00602587"/>
    <w:rsid w:val="0060366B"/>
    <w:rsid w:val="00605003"/>
    <w:rsid w:val="00617425"/>
    <w:rsid w:val="00617BEA"/>
    <w:rsid w:val="00620150"/>
    <w:rsid w:val="0063307A"/>
    <w:rsid w:val="00633416"/>
    <w:rsid w:val="00635D11"/>
    <w:rsid w:val="006368A2"/>
    <w:rsid w:val="006540B8"/>
    <w:rsid w:val="006604A1"/>
    <w:rsid w:val="0066246E"/>
    <w:rsid w:val="00666168"/>
    <w:rsid w:val="00666252"/>
    <w:rsid w:val="00672ED3"/>
    <w:rsid w:val="00674D4F"/>
    <w:rsid w:val="00676560"/>
    <w:rsid w:val="006939E5"/>
    <w:rsid w:val="006A2D04"/>
    <w:rsid w:val="006C217F"/>
    <w:rsid w:val="006C676D"/>
    <w:rsid w:val="006D3A8B"/>
    <w:rsid w:val="006F3FA9"/>
    <w:rsid w:val="007000A9"/>
    <w:rsid w:val="00701682"/>
    <w:rsid w:val="0070255B"/>
    <w:rsid w:val="00703990"/>
    <w:rsid w:val="00707D71"/>
    <w:rsid w:val="00716222"/>
    <w:rsid w:val="0072071A"/>
    <w:rsid w:val="00732979"/>
    <w:rsid w:val="00733894"/>
    <w:rsid w:val="00733AB8"/>
    <w:rsid w:val="00734A39"/>
    <w:rsid w:val="00735052"/>
    <w:rsid w:val="00735895"/>
    <w:rsid w:val="00735D17"/>
    <w:rsid w:val="00735EC4"/>
    <w:rsid w:val="007465FD"/>
    <w:rsid w:val="00753EDF"/>
    <w:rsid w:val="007552C5"/>
    <w:rsid w:val="00762A65"/>
    <w:rsid w:val="007650BD"/>
    <w:rsid w:val="00765591"/>
    <w:rsid w:val="00765E19"/>
    <w:rsid w:val="0077207E"/>
    <w:rsid w:val="00776C8C"/>
    <w:rsid w:val="00784793"/>
    <w:rsid w:val="00792611"/>
    <w:rsid w:val="00795EAB"/>
    <w:rsid w:val="007A13FD"/>
    <w:rsid w:val="007A16A8"/>
    <w:rsid w:val="007A1D24"/>
    <w:rsid w:val="007A3B45"/>
    <w:rsid w:val="007A6787"/>
    <w:rsid w:val="007B4BC9"/>
    <w:rsid w:val="007C36D3"/>
    <w:rsid w:val="007C4176"/>
    <w:rsid w:val="007D35AE"/>
    <w:rsid w:val="007E17D4"/>
    <w:rsid w:val="007E270E"/>
    <w:rsid w:val="007E662D"/>
    <w:rsid w:val="007F0559"/>
    <w:rsid w:val="007F4BBA"/>
    <w:rsid w:val="007F7CB6"/>
    <w:rsid w:val="008000B7"/>
    <w:rsid w:val="00802A47"/>
    <w:rsid w:val="00802B9B"/>
    <w:rsid w:val="00815993"/>
    <w:rsid w:val="0082001A"/>
    <w:rsid w:val="008244EC"/>
    <w:rsid w:val="008247F2"/>
    <w:rsid w:val="00834A7F"/>
    <w:rsid w:val="00844514"/>
    <w:rsid w:val="00844D69"/>
    <w:rsid w:val="00847453"/>
    <w:rsid w:val="008507B8"/>
    <w:rsid w:val="008640A8"/>
    <w:rsid w:val="00866443"/>
    <w:rsid w:val="00866531"/>
    <w:rsid w:val="008672B4"/>
    <w:rsid w:val="00870854"/>
    <w:rsid w:val="00872EDB"/>
    <w:rsid w:val="00880BB7"/>
    <w:rsid w:val="008842B4"/>
    <w:rsid w:val="00885530"/>
    <w:rsid w:val="008904CC"/>
    <w:rsid w:val="008A66DF"/>
    <w:rsid w:val="008B2553"/>
    <w:rsid w:val="008B650F"/>
    <w:rsid w:val="008C6C52"/>
    <w:rsid w:val="008E1CC0"/>
    <w:rsid w:val="008E6722"/>
    <w:rsid w:val="008F4293"/>
    <w:rsid w:val="00913CD9"/>
    <w:rsid w:val="00915759"/>
    <w:rsid w:val="00915B6B"/>
    <w:rsid w:val="009163B9"/>
    <w:rsid w:val="009165FC"/>
    <w:rsid w:val="0092209A"/>
    <w:rsid w:val="00923DDB"/>
    <w:rsid w:val="00925E28"/>
    <w:rsid w:val="009434B2"/>
    <w:rsid w:val="0094605E"/>
    <w:rsid w:val="0094795A"/>
    <w:rsid w:val="00955E52"/>
    <w:rsid w:val="009705B9"/>
    <w:rsid w:val="00981275"/>
    <w:rsid w:val="00983620"/>
    <w:rsid w:val="009840AB"/>
    <w:rsid w:val="009954FD"/>
    <w:rsid w:val="009966BB"/>
    <w:rsid w:val="00997655"/>
    <w:rsid w:val="009A00C2"/>
    <w:rsid w:val="009B0604"/>
    <w:rsid w:val="009B3953"/>
    <w:rsid w:val="009B50C4"/>
    <w:rsid w:val="009C6721"/>
    <w:rsid w:val="009C6A13"/>
    <w:rsid w:val="009D4487"/>
    <w:rsid w:val="009E606C"/>
    <w:rsid w:val="009E7E47"/>
    <w:rsid w:val="009F0E5C"/>
    <w:rsid w:val="009F233F"/>
    <w:rsid w:val="00A044B7"/>
    <w:rsid w:val="00A05889"/>
    <w:rsid w:val="00A16A01"/>
    <w:rsid w:val="00A21D68"/>
    <w:rsid w:val="00A227E6"/>
    <w:rsid w:val="00A268A0"/>
    <w:rsid w:val="00A41036"/>
    <w:rsid w:val="00A42B0C"/>
    <w:rsid w:val="00A447AF"/>
    <w:rsid w:val="00A45EE5"/>
    <w:rsid w:val="00A54DA7"/>
    <w:rsid w:val="00A754CB"/>
    <w:rsid w:val="00A76A06"/>
    <w:rsid w:val="00A7788D"/>
    <w:rsid w:val="00A8127A"/>
    <w:rsid w:val="00A967F8"/>
    <w:rsid w:val="00A96BD5"/>
    <w:rsid w:val="00AB66E9"/>
    <w:rsid w:val="00AC35C3"/>
    <w:rsid w:val="00AC60A0"/>
    <w:rsid w:val="00AC7D8F"/>
    <w:rsid w:val="00AD0128"/>
    <w:rsid w:val="00AD0B4B"/>
    <w:rsid w:val="00AD14EF"/>
    <w:rsid w:val="00AD547C"/>
    <w:rsid w:val="00AD58B0"/>
    <w:rsid w:val="00AE654B"/>
    <w:rsid w:val="00AF7350"/>
    <w:rsid w:val="00AF7E92"/>
    <w:rsid w:val="00B072C6"/>
    <w:rsid w:val="00B15A3F"/>
    <w:rsid w:val="00B17696"/>
    <w:rsid w:val="00B23D37"/>
    <w:rsid w:val="00B3277B"/>
    <w:rsid w:val="00B469E6"/>
    <w:rsid w:val="00B55FCB"/>
    <w:rsid w:val="00B570F9"/>
    <w:rsid w:val="00B57928"/>
    <w:rsid w:val="00B63B14"/>
    <w:rsid w:val="00B645EE"/>
    <w:rsid w:val="00B66DCC"/>
    <w:rsid w:val="00B675AD"/>
    <w:rsid w:val="00B7489F"/>
    <w:rsid w:val="00B74EDF"/>
    <w:rsid w:val="00B80EC4"/>
    <w:rsid w:val="00B813DA"/>
    <w:rsid w:val="00B845CF"/>
    <w:rsid w:val="00B853AE"/>
    <w:rsid w:val="00B87AA5"/>
    <w:rsid w:val="00BA13A7"/>
    <w:rsid w:val="00BA458E"/>
    <w:rsid w:val="00BA79E9"/>
    <w:rsid w:val="00BC04C5"/>
    <w:rsid w:val="00BC1C52"/>
    <w:rsid w:val="00BD003D"/>
    <w:rsid w:val="00BD6E52"/>
    <w:rsid w:val="00BE290F"/>
    <w:rsid w:val="00BE5695"/>
    <w:rsid w:val="00BE66EC"/>
    <w:rsid w:val="00BF0219"/>
    <w:rsid w:val="00BF15ED"/>
    <w:rsid w:val="00C02742"/>
    <w:rsid w:val="00C05532"/>
    <w:rsid w:val="00C05D2E"/>
    <w:rsid w:val="00C114A1"/>
    <w:rsid w:val="00C155E2"/>
    <w:rsid w:val="00C213E6"/>
    <w:rsid w:val="00C24529"/>
    <w:rsid w:val="00C26BC6"/>
    <w:rsid w:val="00C27D41"/>
    <w:rsid w:val="00C35311"/>
    <w:rsid w:val="00C45347"/>
    <w:rsid w:val="00C511C6"/>
    <w:rsid w:val="00C53C92"/>
    <w:rsid w:val="00C612C2"/>
    <w:rsid w:val="00C67F38"/>
    <w:rsid w:val="00C71311"/>
    <w:rsid w:val="00C7443F"/>
    <w:rsid w:val="00C92EEA"/>
    <w:rsid w:val="00C948FD"/>
    <w:rsid w:val="00C95DBE"/>
    <w:rsid w:val="00C97CDE"/>
    <w:rsid w:val="00CA05B1"/>
    <w:rsid w:val="00CA72C4"/>
    <w:rsid w:val="00CB00C5"/>
    <w:rsid w:val="00CB3089"/>
    <w:rsid w:val="00CB3667"/>
    <w:rsid w:val="00CB3AAF"/>
    <w:rsid w:val="00CB758F"/>
    <w:rsid w:val="00CD016F"/>
    <w:rsid w:val="00CD4A8B"/>
    <w:rsid w:val="00CE22A3"/>
    <w:rsid w:val="00CF000A"/>
    <w:rsid w:val="00CF725F"/>
    <w:rsid w:val="00CF7665"/>
    <w:rsid w:val="00D14C50"/>
    <w:rsid w:val="00D1674B"/>
    <w:rsid w:val="00D263BC"/>
    <w:rsid w:val="00D27607"/>
    <w:rsid w:val="00D3041A"/>
    <w:rsid w:val="00D37DE2"/>
    <w:rsid w:val="00D41B9A"/>
    <w:rsid w:val="00D42E03"/>
    <w:rsid w:val="00D45E56"/>
    <w:rsid w:val="00D63177"/>
    <w:rsid w:val="00D648B3"/>
    <w:rsid w:val="00D65A7C"/>
    <w:rsid w:val="00D66F47"/>
    <w:rsid w:val="00D727D9"/>
    <w:rsid w:val="00D73054"/>
    <w:rsid w:val="00D77D4D"/>
    <w:rsid w:val="00D80103"/>
    <w:rsid w:val="00D812FE"/>
    <w:rsid w:val="00D81D4E"/>
    <w:rsid w:val="00D82A2C"/>
    <w:rsid w:val="00D869D4"/>
    <w:rsid w:val="00D87A7D"/>
    <w:rsid w:val="00D90AE9"/>
    <w:rsid w:val="00D92C3F"/>
    <w:rsid w:val="00D94E2B"/>
    <w:rsid w:val="00DA1224"/>
    <w:rsid w:val="00DA3E42"/>
    <w:rsid w:val="00DB3B9C"/>
    <w:rsid w:val="00DD05B6"/>
    <w:rsid w:val="00DD6F7D"/>
    <w:rsid w:val="00DD7300"/>
    <w:rsid w:val="00DD7A95"/>
    <w:rsid w:val="00DF12A7"/>
    <w:rsid w:val="00E13E70"/>
    <w:rsid w:val="00E14C0D"/>
    <w:rsid w:val="00E1545E"/>
    <w:rsid w:val="00E2354E"/>
    <w:rsid w:val="00E26315"/>
    <w:rsid w:val="00E30013"/>
    <w:rsid w:val="00E30480"/>
    <w:rsid w:val="00E32B1B"/>
    <w:rsid w:val="00E343F0"/>
    <w:rsid w:val="00E37D5F"/>
    <w:rsid w:val="00E42DF5"/>
    <w:rsid w:val="00E455FA"/>
    <w:rsid w:val="00E50141"/>
    <w:rsid w:val="00E5239D"/>
    <w:rsid w:val="00E52CC8"/>
    <w:rsid w:val="00E55AA4"/>
    <w:rsid w:val="00E55FDB"/>
    <w:rsid w:val="00E6100B"/>
    <w:rsid w:val="00E65E43"/>
    <w:rsid w:val="00E70883"/>
    <w:rsid w:val="00E73EEB"/>
    <w:rsid w:val="00E7505A"/>
    <w:rsid w:val="00E805FD"/>
    <w:rsid w:val="00E85814"/>
    <w:rsid w:val="00E90153"/>
    <w:rsid w:val="00E90C32"/>
    <w:rsid w:val="00EA2116"/>
    <w:rsid w:val="00EA3F3B"/>
    <w:rsid w:val="00EA6079"/>
    <w:rsid w:val="00EA7D5E"/>
    <w:rsid w:val="00EB348C"/>
    <w:rsid w:val="00EB5266"/>
    <w:rsid w:val="00EC62CE"/>
    <w:rsid w:val="00EC77FA"/>
    <w:rsid w:val="00ED30C4"/>
    <w:rsid w:val="00ED3151"/>
    <w:rsid w:val="00ED75C4"/>
    <w:rsid w:val="00EE3342"/>
    <w:rsid w:val="00EE7304"/>
    <w:rsid w:val="00EF2CF2"/>
    <w:rsid w:val="00EF33DB"/>
    <w:rsid w:val="00F04CAD"/>
    <w:rsid w:val="00F173ED"/>
    <w:rsid w:val="00F20851"/>
    <w:rsid w:val="00F20B80"/>
    <w:rsid w:val="00F25EC3"/>
    <w:rsid w:val="00F26DA7"/>
    <w:rsid w:val="00F33155"/>
    <w:rsid w:val="00F3462A"/>
    <w:rsid w:val="00F406B8"/>
    <w:rsid w:val="00F44252"/>
    <w:rsid w:val="00F505BC"/>
    <w:rsid w:val="00F5257A"/>
    <w:rsid w:val="00F646DF"/>
    <w:rsid w:val="00F67805"/>
    <w:rsid w:val="00F72EB3"/>
    <w:rsid w:val="00F819C8"/>
    <w:rsid w:val="00F92F64"/>
    <w:rsid w:val="00F93604"/>
    <w:rsid w:val="00F94AC8"/>
    <w:rsid w:val="00F94AE4"/>
    <w:rsid w:val="00FA00B6"/>
    <w:rsid w:val="00FA4D07"/>
    <w:rsid w:val="00FA6A3F"/>
    <w:rsid w:val="00FB39BA"/>
    <w:rsid w:val="00FC37DD"/>
    <w:rsid w:val="00FC39FA"/>
    <w:rsid w:val="00FC77F5"/>
    <w:rsid w:val="00FE2A8C"/>
    <w:rsid w:val="00FE6623"/>
    <w:rsid w:val="00FF1413"/>
    <w:rsid w:val="00FF158A"/>
    <w:rsid w:val="017477C8"/>
    <w:rsid w:val="03915FDB"/>
    <w:rsid w:val="03D6547C"/>
    <w:rsid w:val="05ED01D7"/>
    <w:rsid w:val="07710AAD"/>
    <w:rsid w:val="098C50E5"/>
    <w:rsid w:val="0AA12A60"/>
    <w:rsid w:val="0AAE6186"/>
    <w:rsid w:val="0AD230E7"/>
    <w:rsid w:val="0B2E7B07"/>
    <w:rsid w:val="0BF277E3"/>
    <w:rsid w:val="0C5F1910"/>
    <w:rsid w:val="0CCB4947"/>
    <w:rsid w:val="0DA96B5F"/>
    <w:rsid w:val="0E0C759E"/>
    <w:rsid w:val="0E5461DB"/>
    <w:rsid w:val="0E7E7C19"/>
    <w:rsid w:val="11CD1ADF"/>
    <w:rsid w:val="12542333"/>
    <w:rsid w:val="15243537"/>
    <w:rsid w:val="174A0545"/>
    <w:rsid w:val="17F21798"/>
    <w:rsid w:val="188F2BCF"/>
    <w:rsid w:val="1A2666E7"/>
    <w:rsid w:val="1AA5153C"/>
    <w:rsid w:val="1AE54970"/>
    <w:rsid w:val="1CD512E0"/>
    <w:rsid w:val="1D66353B"/>
    <w:rsid w:val="1E1643EB"/>
    <w:rsid w:val="1E8E5890"/>
    <w:rsid w:val="1F0A0302"/>
    <w:rsid w:val="1F411303"/>
    <w:rsid w:val="207407CA"/>
    <w:rsid w:val="2176257C"/>
    <w:rsid w:val="22507FD5"/>
    <w:rsid w:val="2256650A"/>
    <w:rsid w:val="24A50E47"/>
    <w:rsid w:val="26A76499"/>
    <w:rsid w:val="270D68A1"/>
    <w:rsid w:val="289F6616"/>
    <w:rsid w:val="29471AB5"/>
    <w:rsid w:val="2B261605"/>
    <w:rsid w:val="2B4C2F14"/>
    <w:rsid w:val="2D4C53AA"/>
    <w:rsid w:val="2E3737E1"/>
    <w:rsid w:val="30C903A7"/>
    <w:rsid w:val="30D66029"/>
    <w:rsid w:val="319C18F5"/>
    <w:rsid w:val="324B20BE"/>
    <w:rsid w:val="328E3CDD"/>
    <w:rsid w:val="336E5F6C"/>
    <w:rsid w:val="34FF0EF9"/>
    <w:rsid w:val="3516403D"/>
    <w:rsid w:val="3591433A"/>
    <w:rsid w:val="359C7EEB"/>
    <w:rsid w:val="36274A5A"/>
    <w:rsid w:val="364967DA"/>
    <w:rsid w:val="37F7225A"/>
    <w:rsid w:val="3AC1675F"/>
    <w:rsid w:val="3BAB3756"/>
    <w:rsid w:val="3E471BD9"/>
    <w:rsid w:val="3F3B0FAA"/>
    <w:rsid w:val="406A3521"/>
    <w:rsid w:val="41611AE5"/>
    <w:rsid w:val="41950879"/>
    <w:rsid w:val="41DD2B91"/>
    <w:rsid w:val="43DB7A73"/>
    <w:rsid w:val="441F69B4"/>
    <w:rsid w:val="449951F6"/>
    <w:rsid w:val="44ED1715"/>
    <w:rsid w:val="457D0C4A"/>
    <w:rsid w:val="4674757D"/>
    <w:rsid w:val="47610783"/>
    <w:rsid w:val="492944E6"/>
    <w:rsid w:val="492F7D7A"/>
    <w:rsid w:val="4B6B0801"/>
    <w:rsid w:val="4B8914F9"/>
    <w:rsid w:val="4BE468C7"/>
    <w:rsid w:val="4C06388C"/>
    <w:rsid w:val="4C794CA3"/>
    <w:rsid w:val="4CA04FA4"/>
    <w:rsid w:val="4DFF100F"/>
    <w:rsid w:val="4F6238D9"/>
    <w:rsid w:val="4FDA2784"/>
    <w:rsid w:val="4FDE4280"/>
    <w:rsid w:val="507851E8"/>
    <w:rsid w:val="523F7097"/>
    <w:rsid w:val="524751DF"/>
    <w:rsid w:val="526C0A8B"/>
    <w:rsid w:val="53A96AB8"/>
    <w:rsid w:val="55792947"/>
    <w:rsid w:val="56066443"/>
    <w:rsid w:val="569023DD"/>
    <w:rsid w:val="56EE1260"/>
    <w:rsid w:val="57AE539F"/>
    <w:rsid w:val="58A410BB"/>
    <w:rsid w:val="5A372ECC"/>
    <w:rsid w:val="5C2712E2"/>
    <w:rsid w:val="5D3E4715"/>
    <w:rsid w:val="5FDE3704"/>
    <w:rsid w:val="5FFD21FB"/>
    <w:rsid w:val="61343088"/>
    <w:rsid w:val="62E047DA"/>
    <w:rsid w:val="64262A99"/>
    <w:rsid w:val="68012F0F"/>
    <w:rsid w:val="68CB5C7C"/>
    <w:rsid w:val="69F10D61"/>
    <w:rsid w:val="6C557C3D"/>
    <w:rsid w:val="6E345F26"/>
    <w:rsid w:val="6ED22B80"/>
    <w:rsid w:val="6F1177DB"/>
    <w:rsid w:val="6F267AA8"/>
    <w:rsid w:val="6F8148A4"/>
    <w:rsid w:val="6FB67B70"/>
    <w:rsid w:val="712F57A6"/>
    <w:rsid w:val="72943C26"/>
    <w:rsid w:val="738E1DAF"/>
    <w:rsid w:val="74FD6B41"/>
    <w:rsid w:val="763622C1"/>
    <w:rsid w:val="7682788C"/>
    <w:rsid w:val="769A3BD0"/>
    <w:rsid w:val="77C60C5C"/>
    <w:rsid w:val="78FA28E9"/>
    <w:rsid w:val="79CC7450"/>
    <w:rsid w:val="7A5A566B"/>
    <w:rsid w:val="7B4F5F44"/>
    <w:rsid w:val="7BB7184D"/>
    <w:rsid w:val="7C3D1BF9"/>
    <w:rsid w:val="7EB96339"/>
    <w:rsid w:val="7FEE3171"/>
    <w:rsid w:val="9EBF181F"/>
    <w:rsid w:val="B4DFE1CE"/>
    <w:rsid w:val="B9FF84E4"/>
    <w:rsid w:val="CBF934D2"/>
    <w:rsid w:val="CC3DCC68"/>
    <w:rsid w:val="CEFE26EA"/>
    <w:rsid w:val="CF70E723"/>
    <w:rsid w:val="DFE7319F"/>
    <w:rsid w:val="E9FF867E"/>
    <w:rsid w:val="EDFF7B5C"/>
    <w:rsid w:val="EF7F3530"/>
    <w:rsid w:val="F23FBA44"/>
    <w:rsid w:val="F5DFAB47"/>
    <w:rsid w:val="FBFF1915"/>
    <w:rsid w:val="FD7BD55D"/>
    <w:rsid w:val="FFF785D3"/>
    <w:rsid w:val="FFFDF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3"/>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9"/>
    <w:pPr>
      <w:keepNext/>
      <w:keepLines/>
      <w:spacing w:before="280" w:after="290" w:line="372" w:lineRule="auto"/>
      <w:outlineLvl w:val="3"/>
    </w:pPr>
    <w:rPr>
      <w:rFonts w:ascii="Arial" w:hAnsi="Arial" w:eastAsia="黑体"/>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8"/>
    <w:qFormat/>
    <w:uiPriority w:val="0"/>
    <w:pPr>
      <w:ind w:firstLine="420" w:firstLineChars="200"/>
    </w:pPr>
  </w:style>
  <w:style w:type="paragraph" w:styleId="7">
    <w:name w:val="Document Map"/>
    <w:basedOn w:val="1"/>
    <w:link w:val="61"/>
    <w:qFormat/>
    <w:uiPriority w:val="0"/>
    <w:rPr>
      <w:rFonts w:ascii="宋体"/>
      <w:sz w:val="18"/>
      <w:szCs w:val="18"/>
    </w:rPr>
  </w:style>
  <w:style w:type="paragraph" w:styleId="8">
    <w:name w:val="toa heading"/>
    <w:basedOn w:val="1"/>
    <w:next w:val="1"/>
    <w:qFormat/>
    <w:uiPriority w:val="0"/>
    <w:pPr>
      <w:spacing w:before="120"/>
    </w:pPr>
    <w:rPr>
      <w:rFonts w:ascii="Arial" w:hAnsi="Arial"/>
      <w:sz w:val="24"/>
    </w:rPr>
  </w:style>
  <w:style w:type="paragraph" w:styleId="9">
    <w:name w:val="annotation text"/>
    <w:basedOn w:val="1"/>
    <w:link w:val="39"/>
    <w:qFormat/>
    <w:uiPriority w:val="0"/>
    <w:pPr>
      <w:jc w:val="left"/>
    </w:pPr>
    <w:rPr>
      <w:rFonts w:asciiTheme="minorHAnsi" w:hAnsiTheme="minorHAnsi" w:eastAsiaTheme="minorEastAsia" w:cstheme="minorBidi"/>
      <w:sz w:val="18"/>
      <w:szCs w:val="22"/>
    </w:rPr>
  </w:style>
  <w:style w:type="paragraph" w:styleId="10">
    <w:name w:val="Body Text"/>
    <w:basedOn w:val="1"/>
    <w:next w:val="11"/>
    <w:qFormat/>
    <w:uiPriority w:val="0"/>
    <w:pPr>
      <w:spacing w:after="120"/>
    </w:pPr>
  </w:style>
  <w:style w:type="paragraph" w:styleId="11">
    <w:name w:val="Quote"/>
    <w:basedOn w:val="1"/>
    <w:next w:val="1"/>
    <w:qFormat/>
    <w:uiPriority w:val="0"/>
    <w:pPr>
      <w:wordWrap w:val="0"/>
      <w:spacing w:before="200" w:after="160"/>
      <w:ind w:left="864" w:right="864"/>
      <w:jc w:val="center"/>
    </w:pPr>
    <w:rPr>
      <w:i/>
    </w:rPr>
  </w:style>
  <w:style w:type="paragraph" w:styleId="12">
    <w:name w:val="Body Text Indent"/>
    <w:basedOn w:val="1"/>
    <w:link w:val="44"/>
    <w:qFormat/>
    <w:uiPriority w:val="0"/>
    <w:pPr>
      <w:ind w:firstLine="630"/>
    </w:pPr>
    <w:rPr>
      <w:sz w:val="32"/>
      <w:szCs w:val="20"/>
    </w:rPr>
  </w:style>
  <w:style w:type="paragraph" w:styleId="13">
    <w:name w:val="Plain Text"/>
    <w:basedOn w:val="1"/>
    <w:link w:val="53"/>
    <w:qFormat/>
    <w:uiPriority w:val="0"/>
    <w:pPr>
      <w:autoSpaceDE w:val="0"/>
      <w:autoSpaceDN w:val="0"/>
      <w:adjustRightInd w:val="0"/>
    </w:pPr>
    <w:rPr>
      <w:rFonts w:ascii="宋体" w:hAnsi="Tms Rmn" w:cstheme="minorBidi"/>
      <w:szCs w:val="22"/>
    </w:rPr>
  </w:style>
  <w:style w:type="paragraph" w:styleId="14">
    <w:name w:val="Body Text Indent 2"/>
    <w:basedOn w:val="1"/>
    <w:next w:val="1"/>
    <w:link w:val="46"/>
    <w:qFormat/>
    <w:uiPriority w:val="0"/>
    <w:pPr>
      <w:spacing w:after="120" w:line="480" w:lineRule="auto"/>
      <w:ind w:left="420" w:leftChars="200"/>
    </w:pPr>
  </w:style>
  <w:style w:type="paragraph" w:styleId="15">
    <w:name w:val="Balloon Text"/>
    <w:basedOn w:val="1"/>
    <w:link w:val="41"/>
    <w:semiHidden/>
    <w:unhideWhenUsed/>
    <w:qFormat/>
    <w:uiPriority w:val="0"/>
    <w:rPr>
      <w:sz w:val="18"/>
      <w:szCs w:val="18"/>
    </w:rPr>
  </w:style>
  <w:style w:type="paragraph" w:styleId="16">
    <w:name w:val="footer"/>
    <w:basedOn w:val="1"/>
    <w:next w:val="1"/>
    <w:link w:val="35"/>
    <w:unhideWhenUsed/>
    <w:qFormat/>
    <w:uiPriority w:val="99"/>
    <w:pPr>
      <w:tabs>
        <w:tab w:val="center" w:pos="4153"/>
        <w:tab w:val="right" w:pos="8306"/>
      </w:tabs>
      <w:snapToGrid w:val="0"/>
      <w:jc w:val="left"/>
    </w:pPr>
    <w:rPr>
      <w:sz w:val="18"/>
      <w:szCs w:val="18"/>
    </w:rPr>
  </w:style>
  <w:style w:type="paragraph" w:styleId="17">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spacing w:line="360" w:lineRule="auto"/>
    </w:pPr>
    <w:rPr>
      <w:rFonts w:eastAsia="微软雅黑"/>
    </w:rPr>
  </w:style>
  <w:style w:type="paragraph" w:styleId="19">
    <w:name w:val="Body Text Indent 3"/>
    <w:basedOn w:val="1"/>
    <w:next w:val="20"/>
    <w:link w:val="47"/>
    <w:qFormat/>
    <w:uiPriority w:val="0"/>
    <w:pPr>
      <w:spacing w:after="120"/>
      <w:ind w:left="420" w:leftChars="200"/>
    </w:pPr>
    <w:rPr>
      <w:sz w:val="16"/>
      <w:szCs w:val="16"/>
    </w:rPr>
  </w:style>
  <w:style w:type="paragraph" w:customStyle="1" w:styleId="20">
    <w:name w:val="样式 3 17 磅"/>
    <w:next w:val="8"/>
    <w:qFormat/>
    <w:uiPriority w:val="0"/>
    <w:pPr>
      <w:widowControl w:val="0"/>
      <w:jc w:val="both"/>
    </w:pPr>
    <w:rPr>
      <w:rFonts w:ascii="宋体" w:hAnsi="Times New Roman" w:eastAsia="宋体" w:cs="宋体"/>
      <w:sz w:val="34"/>
      <w:szCs w:val="34"/>
      <w:lang w:val="en-US" w:eastAsia="zh-CN" w:bidi="ar-SA"/>
    </w:rPr>
  </w:style>
  <w:style w:type="paragraph" w:styleId="21">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2">
    <w:name w:val="Title"/>
    <w:basedOn w:val="1"/>
    <w:next w:val="1"/>
    <w:link w:val="63"/>
    <w:qFormat/>
    <w:uiPriority w:val="10"/>
    <w:pPr>
      <w:spacing w:before="240" w:after="60"/>
      <w:jc w:val="center"/>
      <w:outlineLvl w:val="0"/>
    </w:pPr>
    <w:rPr>
      <w:rFonts w:asciiTheme="majorHAnsi" w:hAnsiTheme="majorHAnsi" w:cstheme="majorBidi"/>
      <w:b/>
      <w:bCs/>
      <w:sz w:val="32"/>
      <w:szCs w:val="32"/>
    </w:rPr>
  </w:style>
  <w:style w:type="paragraph" w:styleId="23">
    <w:name w:val="annotation subject"/>
    <w:basedOn w:val="9"/>
    <w:next w:val="9"/>
    <w:link w:val="59"/>
    <w:qFormat/>
    <w:uiPriority w:val="0"/>
    <w:rPr>
      <w:rFonts w:ascii="Times New Roman" w:hAnsi="Times New Roman" w:eastAsia="宋体" w:cs="Times New Roman"/>
      <w:b/>
      <w:bCs/>
      <w:sz w:val="21"/>
      <w:szCs w:val="24"/>
    </w:rPr>
  </w:style>
  <w:style w:type="paragraph" w:styleId="24">
    <w:name w:val="Body Text First Indent"/>
    <w:basedOn w:val="10"/>
    <w:next w:val="25"/>
    <w:unhideWhenUsed/>
    <w:qFormat/>
    <w:uiPriority w:val="99"/>
    <w:pPr>
      <w:ind w:firstLine="420" w:firstLineChars="100"/>
    </w:pPr>
  </w:style>
  <w:style w:type="paragraph" w:customStyle="1" w:styleId="25">
    <w:name w:val="段落正文"/>
    <w:basedOn w:val="1"/>
    <w:qFormat/>
    <w:uiPriority w:val="0"/>
    <w:pPr>
      <w:spacing w:beforeLines="50" w:line="360" w:lineRule="auto"/>
      <w:ind w:firstLine="200" w:firstLineChars="200"/>
    </w:pPr>
    <w:rPr>
      <w:spacing w:val="2"/>
      <w:sz w:val="24"/>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Hyperlink"/>
    <w:qFormat/>
    <w:uiPriority w:val="99"/>
    <w:rPr>
      <w:color w:val="0000FF"/>
      <w:u w:val="single"/>
    </w:rPr>
  </w:style>
  <w:style w:type="character" w:styleId="32">
    <w:name w:val="annotation reference"/>
    <w:basedOn w:val="28"/>
    <w:qFormat/>
    <w:uiPriority w:val="99"/>
    <w:rPr>
      <w:sz w:val="21"/>
      <w:szCs w:val="21"/>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4">
    <w:name w:val="页眉 字符"/>
    <w:basedOn w:val="28"/>
    <w:link w:val="17"/>
    <w:qFormat/>
    <w:uiPriority w:val="0"/>
    <w:rPr>
      <w:sz w:val="18"/>
      <w:szCs w:val="18"/>
    </w:rPr>
  </w:style>
  <w:style w:type="character" w:customStyle="1" w:styleId="35">
    <w:name w:val="页脚 字符"/>
    <w:basedOn w:val="28"/>
    <w:link w:val="16"/>
    <w:qFormat/>
    <w:uiPriority w:val="99"/>
    <w:rPr>
      <w:sz w:val="18"/>
      <w:szCs w:val="18"/>
    </w:rPr>
  </w:style>
  <w:style w:type="character" w:customStyle="1" w:styleId="36">
    <w:name w:val="标题 2 字符"/>
    <w:basedOn w:val="28"/>
    <w:link w:val="3"/>
    <w:qFormat/>
    <w:uiPriority w:val="0"/>
    <w:rPr>
      <w:rFonts w:ascii="Arial" w:hAnsi="Arial" w:eastAsia="黑体" w:cs="Times New Roman"/>
      <w:b/>
      <w:bCs/>
      <w:sz w:val="32"/>
      <w:szCs w:val="32"/>
    </w:rPr>
  </w:style>
  <w:style w:type="paragraph" w:customStyle="1" w:styleId="37">
    <w:name w:val="正文首行缩进两字符"/>
    <w:basedOn w:val="1"/>
    <w:qFormat/>
    <w:uiPriority w:val="0"/>
    <w:pPr>
      <w:spacing w:line="360" w:lineRule="auto"/>
      <w:ind w:firstLine="200" w:firstLineChars="200"/>
    </w:pPr>
  </w:style>
  <w:style w:type="character" w:customStyle="1" w:styleId="38">
    <w:name w:val="正文缩进 字符"/>
    <w:link w:val="6"/>
    <w:qFormat/>
    <w:uiPriority w:val="0"/>
    <w:rPr>
      <w:rFonts w:ascii="Times New Roman" w:hAnsi="Times New Roman" w:eastAsia="宋体" w:cs="Times New Roman"/>
      <w:szCs w:val="24"/>
    </w:rPr>
  </w:style>
  <w:style w:type="character" w:customStyle="1" w:styleId="39">
    <w:name w:val="批注文字 字符"/>
    <w:link w:val="9"/>
    <w:qFormat/>
    <w:uiPriority w:val="0"/>
    <w:rPr>
      <w:sz w:val="18"/>
    </w:rPr>
  </w:style>
  <w:style w:type="character" w:customStyle="1" w:styleId="40">
    <w:name w:val="批注文字 Char1"/>
    <w:basedOn w:val="28"/>
    <w:qFormat/>
    <w:uiPriority w:val="0"/>
    <w:rPr>
      <w:rFonts w:ascii="Times New Roman" w:hAnsi="Times New Roman" w:eastAsia="宋体" w:cs="Times New Roman"/>
      <w:szCs w:val="24"/>
    </w:rPr>
  </w:style>
  <w:style w:type="character" w:customStyle="1" w:styleId="41">
    <w:name w:val="批注框文本 字符"/>
    <w:basedOn w:val="28"/>
    <w:link w:val="15"/>
    <w:semiHidden/>
    <w:qFormat/>
    <w:uiPriority w:val="99"/>
    <w:rPr>
      <w:rFonts w:ascii="Times New Roman" w:hAnsi="Times New Roman" w:eastAsia="宋体" w:cs="Times New Roman"/>
      <w:sz w:val="18"/>
      <w:szCs w:val="18"/>
    </w:rPr>
  </w:style>
  <w:style w:type="character" w:customStyle="1" w:styleId="42">
    <w:name w:val="标题 1 字符"/>
    <w:basedOn w:val="28"/>
    <w:link w:val="2"/>
    <w:qFormat/>
    <w:uiPriority w:val="0"/>
    <w:rPr>
      <w:rFonts w:ascii="Times New Roman" w:hAnsi="Times New Roman" w:eastAsia="宋体" w:cs="Times New Roman"/>
      <w:b/>
      <w:bCs/>
      <w:kern w:val="44"/>
      <w:sz w:val="44"/>
      <w:szCs w:val="44"/>
    </w:rPr>
  </w:style>
  <w:style w:type="character" w:customStyle="1" w:styleId="43">
    <w:name w:val="标题 3 字符"/>
    <w:basedOn w:val="28"/>
    <w:link w:val="4"/>
    <w:qFormat/>
    <w:uiPriority w:val="0"/>
    <w:rPr>
      <w:rFonts w:ascii="Times New Roman" w:hAnsi="Times New Roman" w:eastAsia="宋体" w:cs="Times New Roman"/>
      <w:b/>
      <w:bCs/>
      <w:sz w:val="32"/>
      <w:szCs w:val="32"/>
    </w:rPr>
  </w:style>
  <w:style w:type="character" w:customStyle="1" w:styleId="44">
    <w:name w:val="正文文本缩进 字符"/>
    <w:basedOn w:val="28"/>
    <w:link w:val="12"/>
    <w:qFormat/>
    <w:uiPriority w:val="0"/>
    <w:rPr>
      <w:rFonts w:ascii="Times New Roman" w:hAnsi="Times New Roman" w:eastAsia="宋体" w:cs="Times New Roman"/>
      <w:sz w:val="32"/>
      <w:szCs w:val="20"/>
    </w:rPr>
  </w:style>
  <w:style w:type="paragraph" w:customStyle="1" w:styleId="4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46">
    <w:name w:val="正文文本缩进 2 字符"/>
    <w:basedOn w:val="28"/>
    <w:link w:val="14"/>
    <w:qFormat/>
    <w:uiPriority w:val="0"/>
    <w:rPr>
      <w:rFonts w:ascii="Times New Roman" w:hAnsi="Times New Roman" w:eastAsia="宋体" w:cs="Times New Roman"/>
      <w:szCs w:val="24"/>
    </w:rPr>
  </w:style>
  <w:style w:type="character" w:customStyle="1" w:styleId="47">
    <w:name w:val="正文文本缩进 3 字符"/>
    <w:basedOn w:val="28"/>
    <w:link w:val="19"/>
    <w:qFormat/>
    <w:uiPriority w:val="0"/>
    <w:rPr>
      <w:rFonts w:ascii="Times New Roman" w:hAnsi="Times New Roman" w:eastAsia="宋体" w:cs="Times New Roman"/>
      <w:sz w:val="16"/>
      <w:szCs w:val="16"/>
    </w:rPr>
  </w:style>
  <w:style w:type="paragraph" w:customStyle="1" w:styleId="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9">
    <w:name w:val="表格"/>
    <w:basedOn w:val="1"/>
    <w:qFormat/>
    <w:uiPriority w:val="0"/>
    <w:pPr>
      <w:spacing w:line="400" w:lineRule="exact"/>
    </w:pPr>
    <w:rPr>
      <w:sz w:val="24"/>
    </w:rPr>
  </w:style>
  <w:style w:type="paragraph" w:customStyle="1" w:styleId="50">
    <w:name w:val="样式 首行缩进:  2 字符"/>
    <w:basedOn w:val="1"/>
    <w:qFormat/>
    <w:uiPriority w:val="0"/>
    <w:pPr>
      <w:spacing w:line="400" w:lineRule="exact"/>
      <w:ind w:firstLine="200" w:firstLineChars="200"/>
    </w:pPr>
    <w:rPr>
      <w:rFonts w:cs="宋体"/>
      <w:sz w:val="24"/>
    </w:rPr>
  </w:style>
  <w:style w:type="character" w:customStyle="1" w:styleId="51">
    <w:name w:val="（符号）邀请函中一、"/>
    <w:basedOn w:val="28"/>
    <w:qFormat/>
    <w:uiPriority w:val="0"/>
    <w:rPr>
      <w:rFonts w:ascii="黑体" w:hAnsi="黑体" w:eastAsia="黑体"/>
      <w:b/>
      <w:bCs/>
      <w:sz w:val="24"/>
    </w:rPr>
  </w:style>
  <w:style w:type="character" w:customStyle="1" w:styleId="52">
    <w:name w:val="Char Char9"/>
    <w:qFormat/>
    <w:uiPriority w:val="0"/>
    <w:rPr>
      <w:kern w:val="2"/>
      <w:sz w:val="21"/>
    </w:rPr>
  </w:style>
  <w:style w:type="character" w:customStyle="1" w:styleId="53">
    <w:name w:val="纯文本 字符"/>
    <w:link w:val="13"/>
    <w:unhideWhenUsed/>
    <w:qFormat/>
    <w:uiPriority w:val="0"/>
    <w:rPr>
      <w:rFonts w:ascii="宋体" w:hAnsi="Tms Rmn" w:eastAsia="宋体"/>
    </w:rPr>
  </w:style>
  <w:style w:type="character" w:customStyle="1" w:styleId="54">
    <w:name w:val="纯文本 Char1"/>
    <w:basedOn w:val="28"/>
    <w:semiHidden/>
    <w:qFormat/>
    <w:uiPriority w:val="99"/>
    <w:rPr>
      <w:rFonts w:ascii="宋体" w:hAnsi="Courier New" w:eastAsia="宋体" w:cs="Courier New"/>
      <w:szCs w:val="21"/>
    </w:rPr>
  </w:style>
  <w:style w:type="paragraph" w:customStyle="1" w:styleId="55">
    <w:name w:val="GW-正文"/>
    <w:basedOn w:val="1"/>
    <w:link w:val="56"/>
    <w:qFormat/>
    <w:uiPriority w:val="0"/>
    <w:pPr>
      <w:spacing w:line="360" w:lineRule="auto"/>
      <w:ind w:firstLine="200" w:firstLineChars="200"/>
    </w:pPr>
    <w:rPr>
      <w:rFonts w:eastAsia="仿宋_GB2312"/>
      <w:sz w:val="24"/>
    </w:rPr>
  </w:style>
  <w:style w:type="character" w:customStyle="1" w:styleId="56">
    <w:name w:val="GW-正文 Char"/>
    <w:link w:val="55"/>
    <w:qFormat/>
    <w:uiPriority w:val="0"/>
    <w:rPr>
      <w:rFonts w:ascii="Times New Roman" w:hAnsi="Times New Roman" w:eastAsia="仿宋_GB2312" w:cs="Times New Roman"/>
      <w:sz w:val="24"/>
      <w:szCs w:val="24"/>
    </w:rPr>
  </w:style>
  <w:style w:type="paragraph" w:styleId="57">
    <w:name w:val="List Paragraph"/>
    <w:basedOn w:val="1"/>
    <w:link w:val="58"/>
    <w:qFormat/>
    <w:uiPriority w:val="0"/>
    <w:pPr>
      <w:ind w:firstLine="420" w:firstLineChars="200"/>
    </w:pPr>
  </w:style>
  <w:style w:type="character" w:customStyle="1" w:styleId="58">
    <w:name w:val="列表段落 字符"/>
    <w:link w:val="57"/>
    <w:qFormat/>
    <w:uiPriority w:val="0"/>
    <w:rPr>
      <w:rFonts w:ascii="Times New Roman" w:hAnsi="Times New Roman" w:eastAsia="宋体" w:cs="Times New Roman"/>
      <w:szCs w:val="24"/>
    </w:rPr>
  </w:style>
  <w:style w:type="character" w:customStyle="1" w:styleId="59">
    <w:name w:val="批注主题 字符"/>
    <w:basedOn w:val="39"/>
    <w:link w:val="23"/>
    <w:qFormat/>
    <w:uiPriority w:val="0"/>
    <w:rPr>
      <w:rFonts w:ascii="Times New Roman" w:hAnsi="Times New Roman" w:eastAsia="宋体" w:cs="Times New Roman"/>
      <w:b/>
      <w:bCs/>
      <w:sz w:val="18"/>
      <w:szCs w:val="24"/>
    </w:rPr>
  </w:style>
  <w:style w:type="paragraph" w:customStyle="1" w:styleId="60">
    <w:name w:val="Char Char Char Char Char Char Char Char Char Char Char Char Char Char1 Char Char Char Char"/>
    <w:basedOn w:val="1"/>
    <w:qFormat/>
    <w:uiPriority w:val="0"/>
    <w:rPr>
      <w:szCs w:val="21"/>
    </w:rPr>
  </w:style>
  <w:style w:type="character" w:customStyle="1" w:styleId="61">
    <w:name w:val="文档结构图 字符"/>
    <w:basedOn w:val="28"/>
    <w:link w:val="7"/>
    <w:qFormat/>
    <w:uiPriority w:val="0"/>
    <w:rPr>
      <w:rFonts w:ascii="宋体" w:hAnsi="Times New Roman" w:eastAsia="宋体" w:cs="Times New Roman"/>
      <w:sz w:val="18"/>
      <w:szCs w:val="18"/>
    </w:rPr>
  </w:style>
  <w:style w:type="character" w:customStyle="1" w:styleId="62">
    <w:name w:val="font31"/>
    <w:basedOn w:val="28"/>
    <w:qFormat/>
    <w:uiPriority w:val="0"/>
    <w:rPr>
      <w:rFonts w:hint="eastAsia" w:ascii="宋体" w:hAnsi="宋体" w:eastAsia="宋体" w:cs="宋体"/>
      <w:color w:val="000000"/>
      <w:sz w:val="21"/>
      <w:szCs w:val="21"/>
      <w:u w:val="none"/>
    </w:rPr>
  </w:style>
  <w:style w:type="character" w:customStyle="1" w:styleId="63">
    <w:name w:val="标题 字符"/>
    <w:basedOn w:val="28"/>
    <w:link w:val="22"/>
    <w:qFormat/>
    <w:uiPriority w:val="10"/>
    <w:rPr>
      <w:rFonts w:eastAsia="宋体" w:asciiTheme="majorHAnsi" w:hAnsiTheme="majorHAnsi" w:cstheme="majorBidi"/>
      <w:b/>
      <w:bCs/>
      <w:sz w:val="32"/>
      <w:szCs w:val="32"/>
    </w:rPr>
  </w:style>
  <w:style w:type="character" w:customStyle="1" w:styleId="64">
    <w:name w:val="font111"/>
    <w:qFormat/>
    <w:uiPriority w:val="0"/>
    <w:rPr>
      <w:rFonts w:hint="default" w:ascii="Eʩ" w:hAnsi="Eʩ" w:eastAsia="Eʩ" w:cs="Eʩ"/>
      <w:color w:val="000000"/>
      <w:sz w:val="21"/>
      <w:szCs w:val="21"/>
      <w:u w:val="single"/>
    </w:rPr>
  </w:style>
  <w:style w:type="paragraph" w:customStyle="1" w:styleId="65">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66">
    <w:name w:val="表正文 Char2"/>
    <w:qFormat/>
    <w:uiPriority w:val="0"/>
    <w:rPr>
      <w:rFonts w:ascii="Times New Roman" w:hAnsi="Times New Roman" w:eastAsia="宋体" w:cs="Times New Roman"/>
      <w:kern w:val="2"/>
      <w:sz w:val="21"/>
      <w:szCs w:val="24"/>
    </w:rPr>
  </w:style>
  <w:style w:type="paragraph" w:customStyle="1" w:styleId="67">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68">
    <w:name w:val="正文文本缩进 21"/>
    <w:basedOn w:val="1"/>
    <w:qFormat/>
    <w:uiPriority w:val="0"/>
    <w:pPr>
      <w:ind w:firstLine="630"/>
    </w:pPr>
    <w:rPr>
      <w:sz w:val="32"/>
    </w:rPr>
  </w:style>
  <w:style w:type="paragraph" w:customStyle="1" w:styleId="6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Table Paragraph"/>
    <w:basedOn w:val="1"/>
    <w:qFormat/>
    <w:uiPriority w:val="1"/>
  </w:style>
  <w:style w:type="paragraph" w:customStyle="1" w:styleId="7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四川国际招标有限责任公司</Company>
  <Pages>49</Pages>
  <Words>23997</Words>
  <Characters>25112</Characters>
  <Lines>193</Lines>
  <Paragraphs>54</Paragraphs>
  <TotalTime>25</TotalTime>
  <ScaleCrop>false</ScaleCrop>
  <LinksUpToDate>false</LinksUpToDate>
  <CharactersWithSpaces>26800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2018-04-16T19:08:00Z</dcterms:created>
  <dc:creator>张鹏举</dc:creator>
  <cp:lastModifiedBy>连予萌</cp:lastModifiedBy>
  <cp:lastPrinted>2024-12-27T09:38:00Z</cp:lastPrinted>
  <dcterms:modified xsi:type="dcterms:W3CDTF">2024-12-27T10:49:38Z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844FA18798934613B9DF8B2C10766CFD</vt:lpwstr>
  </property>
</Properties>
</file>